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AC16B" w14:textId="77777777" w:rsidR="0039502A" w:rsidRDefault="00992888">
      <w:pPr>
        <w:pStyle w:val="Ttulo"/>
      </w:pPr>
      <w:r>
        <w:t>Desarrollo de un Sistema de Caracterización de Celdas de Electrólisis Alcalina mediante Curvas de Polarización usando NI-VISA y Python</w:t>
      </w:r>
    </w:p>
    <w:p w14:paraId="2288C6FE" w14:textId="78A77C69" w:rsidR="00300B20" w:rsidRDefault="00992888" w:rsidP="00300B20">
      <w:pPr>
        <w:pStyle w:val="Author"/>
      </w:pPr>
      <w:r>
        <w:t>Mario Guillermo Ponce-</w:t>
      </w:r>
      <w:r w:rsidRPr="00300B20">
        <w:t>Hernández</w:t>
      </w:r>
      <w:r w:rsidR="00300B20">
        <w:rPr>
          <w:rStyle w:val="Refdenotaalpie"/>
        </w:rPr>
        <w:footnoteReference w:id="1"/>
      </w:r>
      <w:r w:rsidR="00300B20">
        <w:t xml:space="preserve">, </w:t>
      </w:r>
      <w:r>
        <w:t>Gerardo Marx Chávez-Campos</w:t>
      </w:r>
      <w:r w:rsidR="00A07F07">
        <w:rPr>
          <w:rStyle w:val="Refdenotaalpie"/>
        </w:rPr>
        <w:footnoteReference w:id="2"/>
      </w:r>
      <w:r w:rsidR="00300B20">
        <w:t xml:space="preserve">, </w:t>
      </w:r>
      <w:r>
        <w:t>Héctor Javier Vergara-Hernández</w:t>
      </w:r>
      <w:r w:rsidR="00A07F07">
        <w:rPr>
          <w:rStyle w:val="Refdenotaalpie"/>
        </w:rPr>
        <w:footnoteReference w:id="3"/>
      </w:r>
      <w:r w:rsidR="00300B20">
        <w:t xml:space="preserve">, </w:t>
      </w:r>
    </w:p>
    <w:p w14:paraId="456AC488" w14:textId="4A8F7AAE" w:rsidR="0039502A" w:rsidRDefault="00992888" w:rsidP="00300B20">
      <w:pPr>
        <w:pStyle w:val="Author"/>
      </w:pPr>
      <w:r>
        <w:t>Julio C</w:t>
      </w:r>
      <w:r w:rsidR="00300B20">
        <w:t>é</w:t>
      </w:r>
      <w:r>
        <w:t>sar</w:t>
      </w:r>
      <w:r w:rsidR="00300B20">
        <w:t xml:space="preserve"> </w:t>
      </w:r>
      <w:r>
        <w:t>González-Juárez</w:t>
      </w:r>
      <w:r w:rsidR="00B373DF">
        <w:rPr>
          <w:rStyle w:val="Refdenotaalpie"/>
        </w:rPr>
        <w:footnoteReference w:id="4"/>
      </w:r>
      <w:r w:rsidR="00300B20">
        <w:t xml:space="preserve">, </w:t>
      </w:r>
      <w:r>
        <w:t>Luis Ulises Chávez-Campos</w:t>
      </w:r>
      <w:r w:rsidR="00040B2C">
        <w:rPr>
          <w:rStyle w:val="Refdenotaalpie"/>
        </w:rPr>
        <w:footnoteReference w:id="5"/>
      </w:r>
    </w:p>
    <w:p w14:paraId="3067B5EC" w14:textId="77777777" w:rsidR="005F6DDD" w:rsidRDefault="005F6DDD" w:rsidP="005F6DDD">
      <w:pPr>
        <w:pStyle w:val="FirstParagraph"/>
        <w:ind w:firstLine="0"/>
        <w:rPr>
          <w:b/>
          <w:bCs/>
          <w:i/>
        </w:rPr>
      </w:pPr>
      <w:bookmarkStart w:id="0" w:name="resumen"/>
    </w:p>
    <w:p w14:paraId="24768455" w14:textId="51A7E0CB" w:rsidR="0039502A" w:rsidRPr="005F6DDD" w:rsidRDefault="005F6DDD" w:rsidP="005F6DDD">
      <w:pPr>
        <w:pStyle w:val="FirstParagraph"/>
        <w:ind w:firstLine="0"/>
        <w:rPr>
          <w:sz w:val="18"/>
          <w:szCs w:val="18"/>
        </w:rPr>
      </w:pPr>
      <w:r w:rsidRPr="005F6DDD">
        <w:rPr>
          <w:b/>
          <w:bCs/>
          <w:i/>
          <w:sz w:val="18"/>
          <w:szCs w:val="18"/>
        </w:rPr>
        <w:t>Resumen</w:t>
      </w:r>
      <w:r w:rsidRPr="005F6DDD">
        <w:rPr>
          <w:b/>
          <w:bCs/>
          <w:sz w:val="18"/>
          <w:szCs w:val="18"/>
        </w:rPr>
        <w:t>—</w:t>
      </w:r>
      <w:r w:rsidR="00992888" w:rsidRPr="005F6DDD">
        <w:rPr>
          <w:sz w:val="18"/>
          <w:szCs w:val="18"/>
        </w:rPr>
        <w:t>En este trabajo se presenta el desarrollo de un sistema semiautomático para la caracterización de celdas de electrólisis alcalina mediante curvas de polarización I–V, orientado al estudio de las condiciones de operación y de la degradación del electrolizador. La planta experimental está conformada por una celda con electrodos planos de acero inoxidable 3</w:t>
      </w:r>
      <w:r w:rsidR="00D47FA5" w:rsidRPr="005F6DDD">
        <w:rPr>
          <w:sz w:val="18"/>
          <w:szCs w:val="18"/>
        </w:rPr>
        <w:t>04</w:t>
      </w:r>
      <w:r w:rsidR="00992888" w:rsidRPr="005F6DDD">
        <w:rPr>
          <w:sz w:val="18"/>
          <w:szCs w:val="18"/>
        </w:rPr>
        <w:t xml:space="preserve"> y una solución de </w:t>
      </w:r>
      <m:oMath>
        <m:r>
          <w:rPr>
            <w:rFonts w:ascii="Cambria Math" w:hAnsi="Cambria Math"/>
            <w:sz w:val="18"/>
            <w:szCs w:val="18"/>
          </w:rPr>
          <m:t>NaOH</m:t>
        </m:r>
      </m:oMath>
      <w:r w:rsidR="00992888" w:rsidRPr="005F6DDD">
        <w:rPr>
          <w:sz w:val="18"/>
          <w:szCs w:val="18"/>
        </w:rPr>
        <w:t xml:space="preserve"> 1 M, alimentada por una fuente programable de CD y medida con multímetros de alta resolución. Todos los instrumentos se controlan desde una PC mediante el protocolo NI-VISA, empleando PyVISA como interfaz de comunicación y una aplicación en Python con </w:t>
      </w:r>
      <w:r w:rsidR="00992888" w:rsidRPr="005F6DDD">
        <w:rPr>
          <w:rStyle w:val="VerbatimChar"/>
          <w:rFonts w:ascii="Times New Roman" w:hAnsi="Times New Roman"/>
          <w:i/>
          <w:iCs/>
          <w:sz w:val="18"/>
          <w:szCs w:val="18"/>
        </w:rPr>
        <w:t>Tkinter</w:t>
      </w:r>
      <w:r w:rsidR="00992888" w:rsidRPr="005F6DDD">
        <w:rPr>
          <w:sz w:val="18"/>
          <w:szCs w:val="18"/>
        </w:rPr>
        <w:t xml:space="preserve"> para programar barridos de corriente y voltaje, visualizar las mediciones en tiempo real, almacenar los datos en tablas y archivos </w:t>
      </w:r>
      <w:r w:rsidR="00992888" w:rsidRPr="005F6DDD">
        <w:rPr>
          <w:rStyle w:val="VerbatimChar"/>
          <w:rFonts w:ascii="Times New Roman" w:hAnsi="Times New Roman"/>
          <w:i/>
          <w:iCs/>
          <w:sz w:val="18"/>
          <w:szCs w:val="18"/>
        </w:rPr>
        <w:t>csv</w:t>
      </w:r>
      <w:r w:rsidR="00992888" w:rsidRPr="005F6DDD">
        <w:rPr>
          <w:sz w:val="18"/>
          <w:szCs w:val="18"/>
        </w:rPr>
        <w:t xml:space="preserve"> y generar reportes en PDF. Se obtuvieron curvas de polarización con pasos finos y promedios configurables, lo que permitió distinguir diferencias en el comportamiento eléctrico entre un electrolito fresco y uno previamente utilizado. Los resultados muestran que el sistema propuesto facilita una caracterización detallada y reproducible del electrolizador, constituyendo una herramienta útil para el monitoreo de los puntos de operación bajo distintas condiciones y como base para futuros esquemas de diagnóstico e identificación de fallas a partir de parámetros eléctricos.</w:t>
      </w:r>
    </w:p>
    <w:p w14:paraId="71BF6BFF" w14:textId="77777777" w:rsidR="0039502A" w:rsidRDefault="00992888">
      <w:pPr>
        <w:pStyle w:val="Ttulo1"/>
      </w:pPr>
      <w:bookmarkStart w:id="1" w:name="introducción"/>
      <w:bookmarkEnd w:id="0"/>
      <w:r>
        <w:t>Introducción</w:t>
      </w:r>
    </w:p>
    <w:p w14:paraId="7A9954E2" w14:textId="1D958E0B" w:rsidR="0039502A" w:rsidRPr="00D84740" w:rsidRDefault="00992888" w:rsidP="00D84740">
      <w:pPr>
        <w:pStyle w:val="FirstParagraph"/>
      </w:pPr>
      <w:r>
        <w:t xml:space="preserve">El hidrógeno </w:t>
      </w:r>
      <m:oMath>
        <m:sSub>
          <m:sSubPr>
            <m:ctrlPr>
              <w:rPr>
                <w:rFonts w:ascii="Cambria Math" w:hAnsi="Cambria Math"/>
              </w:rPr>
            </m:ctrlPr>
          </m:sSubPr>
          <m:e>
            <m:r>
              <w:rPr>
                <w:rFonts w:ascii="Cambria Math" w:hAnsi="Cambria Math"/>
              </w:rPr>
              <m:t>H</m:t>
            </m:r>
          </m:e>
          <m:sub>
            <m:r>
              <w:rPr>
                <w:rFonts w:ascii="Cambria Math" w:hAnsi="Cambria Math"/>
              </w:rPr>
              <m:t>2</m:t>
            </m:r>
          </m:sub>
        </m:sSub>
      </m:oMath>
      <w:r>
        <w:t xml:space="preserve"> </w:t>
      </w:r>
      <w:r w:rsidR="00D84740">
        <w:t>se ha convertido en</w:t>
      </w:r>
      <w:r>
        <w:t xml:space="preserve"> un recurso de gran interés para el sector energético, debido a su potencial como fuente limpia, sostenible y almacenable (Noor Azam et al., 2023)</w:t>
      </w:r>
      <w:r w:rsidR="00D84740">
        <w:t xml:space="preserve">, siendo la electrólisis del agua uno de los procesos más utilizados para obtener hidrógeno de alta pureza (Zouhri &amp; Lee, 2016). Entre los métodos electroquímicos destacan el electrolítico y el fotoelectroquímico (Yu, 2021), y la electrólisis se consolida como la técnica principal para producir hidrógeno verde (Correa et al. 2022), al descomponer el agua en </w:t>
      </w:r>
      <m:oMath>
        <m:sSub>
          <m:sSubPr>
            <m:ctrlPr>
              <w:rPr>
                <w:rFonts w:ascii="Cambria Math" w:hAnsi="Cambria Math"/>
                <w:i/>
              </w:rPr>
            </m:ctrlPr>
          </m:sSubPr>
          <m:e>
            <m:r>
              <w:rPr>
                <w:rFonts w:ascii="Cambria Math" w:hAnsi="Cambria Math"/>
              </w:rPr>
              <m:t>H</m:t>
            </m:r>
          </m:e>
          <m:sub>
            <m:r>
              <w:rPr>
                <w:rFonts w:ascii="Cambria Math" w:hAnsi="Cambria Math"/>
              </w:rPr>
              <m:t>2</m:t>
            </m:r>
          </m:sub>
        </m:sSub>
      </m:oMath>
      <w:r w:rsidR="00D84740">
        <w:rPr>
          <w:rFonts w:eastAsiaTheme="minorEastAsia"/>
        </w:rPr>
        <w:t xml:space="preserve"> y </w:t>
      </w:r>
      <m:oMath>
        <m:sSub>
          <m:sSubPr>
            <m:ctrlPr>
              <w:rPr>
                <w:rFonts w:ascii="Cambria Math" w:hAnsi="Cambria Math"/>
                <w:i/>
              </w:rPr>
            </m:ctrlPr>
          </m:sSubPr>
          <m:e>
            <m:r>
              <w:rPr>
                <w:rFonts w:ascii="Cambria Math" w:hAnsi="Cambria Math"/>
              </w:rPr>
              <m:t>O</m:t>
            </m:r>
          </m:e>
          <m:sub>
            <m:r>
              <w:rPr>
                <w:rFonts w:ascii="Cambria Math" w:hAnsi="Cambria Math"/>
              </w:rPr>
              <m:t>2</m:t>
            </m:r>
          </m:sub>
        </m:sSub>
      </m:oMath>
      <w:r w:rsidR="00D84740">
        <w:rPr>
          <w:rFonts w:eastAsiaTheme="minorEastAsia"/>
        </w:rPr>
        <w:t xml:space="preserve"> mediante energía eléctrica aplicada a un medio alcalino, donde el hidrógeno se genera en el cátodo y el oxígeno en el ánodo (Holladay et al. 2009). Este proceso requiere una fuente de corriente controlada, electrodos adecuados, un electrolito conductor y una carcasa resistente a la corrosión. Sin embargo, factores como la temperatura, la concentración del electrolito, la configuración de los electrodos y el desgaste de</w:t>
      </w:r>
      <w:r w:rsidR="005F6DDD">
        <w:rPr>
          <w:rFonts w:eastAsiaTheme="minorEastAsia"/>
        </w:rPr>
        <w:t xml:space="preserve"> los</w:t>
      </w:r>
      <w:r w:rsidR="00D84740">
        <w:rPr>
          <w:rFonts w:eastAsiaTheme="minorEastAsia"/>
        </w:rPr>
        <w:t xml:space="preserve"> materiales afectan el desempeño del electrolizador, por lo que diversos estudios han </w:t>
      </w:r>
      <w:r w:rsidR="005F6DDD">
        <w:rPr>
          <w:rFonts w:eastAsiaTheme="minorEastAsia"/>
        </w:rPr>
        <w:t>caracterizado</w:t>
      </w:r>
      <w:r w:rsidR="00D84740">
        <w:rPr>
          <w:rFonts w:eastAsiaTheme="minorEastAsia"/>
        </w:rPr>
        <w:t xml:space="preserve"> </w:t>
      </w:r>
      <w:r w:rsidR="005F6DDD">
        <w:rPr>
          <w:rFonts w:eastAsiaTheme="minorEastAsia"/>
        </w:rPr>
        <w:t>el</w:t>
      </w:r>
      <w:r w:rsidR="00D84740">
        <w:rPr>
          <w:rFonts w:eastAsiaTheme="minorEastAsia"/>
        </w:rPr>
        <w:t xml:space="preserve"> el</w:t>
      </w:r>
      <w:r w:rsidR="005F6DDD">
        <w:rPr>
          <w:rFonts w:eastAsiaTheme="minorEastAsia"/>
        </w:rPr>
        <w:t>ectrolizador</w:t>
      </w:r>
      <w:r w:rsidR="00D84740">
        <w:rPr>
          <w:rFonts w:eastAsiaTheme="minorEastAsia"/>
        </w:rPr>
        <w:t xml:space="preserve"> mediante curvas de polarización para evaluar sobrepotenciales y pérdidas óhmicas (L. J</w:t>
      </w:r>
      <w:r w:rsidR="00D84740" w:rsidRPr="00D84740">
        <w:rPr>
          <w:rFonts w:eastAsiaTheme="minorEastAsia"/>
        </w:rPr>
        <w:t>ä</w:t>
      </w:r>
      <w:r w:rsidR="00D84740">
        <w:rPr>
          <w:rFonts w:eastAsiaTheme="minorEastAsia"/>
        </w:rPr>
        <w:t xml:space="preserve">rvinen et al. 2022). </w:t>
      </w:r>
      <w:r w:rsidR="00BD0BAE" w:rsidRPr="00BD0BAE">
        <w:rPr>
          <w:rFonts w:eastAsiaTheme="minorEastAsia"/>
        </w:rPr>
        <w:t>El análisis de parámetros como el voltaje, corriente, resistencia interna y capacitancia permite realizar modelos paramétricos que representen la respuesta electroquímica</w:t>
      </w:r>
      <w:r w:rsidR="00E43E82">
        <w:rPr>
          <w:rFonts w:eastAsiaTheme="minorEastAsia"/>
        </w:rPr>
        <w:t>;</w:t>
      </w:r>
      <w:r w:rsidR="00BD0BAE" w:rsidRPr="00BD0BAE">
        <w:rPr>
          <w:rFonts w:eastAsiaTheme="minorEastAsia"/>
        </w:rPr>
        <w:t xml:space="preserve"> entre ellos</w:t>
      </w:r>
      <w:r w:rsidR="00E43E82">
        <w:rPr>
          <w:rFonts w:eastAsiaTheme="minorEastAsia"/>
        </w:rPr>
        <w:t>,</w:t>
      </w:r>
      <w:r w:rsidR="00BD0BAE" w:rsidRPr="00BD0BAE">
        <w:rPr>
          <w:rFonts w:eastAsiaTheme="minorEastAsia"/>
        </w:rPr>
        <w:t xml:space="preserve"> se pueden realizar modelos de circuitos eléctricos equivalentes, los cuales facilitan la simulación, control y diagnóstico del sistema</w:t>
      </w:r>
      <w:r w:rsidR="00D84740">
        <w:rPr>
          <w:rFonts w:eastAsiaTheme="minorEastAsia"/>
        </w:rPr>
        <w:t>, especialmente cuando se busca integrar energías renovables a la electrólisis (Hossain et al. 2022). En este contexto, el presente t</w:t>
      </w:r>
      <w:r w:rsidR="00BD0BAE">
        <w:rPr>
          <w:rFonts w:eastAsiaTheme="minorEastAsia"/>
        </w:rPr>
        <w:t>r</w:t>
      </w:r>
      <w:r w:rsidR="00D84740">
        <w:rPr>
          <w:rFonts w:eastAsiaTheme="minorEastAsia"/>
        </w:rPr>
        <w:t>abajo desarrolla un sistema semiautomático para obtener curvas de polarización en electroliza</w:t>
      </w:r>
      <w:r w:rsidR="00BD0BAE">
        <w:rPr>
          <w:rFonts w:eastAsiaTheme="minorEastAsia"/>
        </w:rPr>
        <w:t xml:space="preserve">dores alcalinos, registrando en tiempo real variables críticas mediante instrumentos de precisión y un algoritmo implementado en Python que integra </w:t>
      </w:r>
      <w:r w:rsidR="00E43E82">
        <w:rPr>
          <w:rFonts w:eastAsiaTheme="minorEastAsia"/>
        </w:rPr>
        <w:t xml:space="preserve">la </w:t>
      </w:r>
      <w:r w:rsidR="00BD0BAE">
        <w:rPr>
          <w:rFonts w:eastAsiaTheme="minorEastAsia"/>
        </w:rPr>
        <w:t xml:space="preserve">comunicación NI-ViSA e interfaces gráficas de control y monitoreo. </w:t>
      </w:r>
    </w:p>
    <w:p w14:paraId="675A6406" w14:textId="77777777" w:rsidR="0039502A" w:rsidRDefault="00992888">
      <w:pPr>
        <w:pStyle w:val="Ttulo1"/>
      </w:pPr>
      <w:bookmarkStart w:id="2" w:name="metodología"/>
      <w:bookmarkEnd w:id="1"/>
      <w:r>
        <w:t>Metodología</w:t>
      </w:r>
    </w:p>
    <w:p w14:paraId="11BC3930" w14:textId="05074881" w:rsidR="0039502A" w:rsidRDefault="00992888">
      <w:pPr>
        <w:pStyle w:val="FirstParagraph"/>
      </w:pPr>
      <w:r>
        <w:t xml:space="preserve">Para obtener las curvas de polarización y caracterizar el sistema electrolizador, se construyó un electrolizador alcalino básico con electrodos de acero inoxidable y </w:t>
      </w:r>
      <m:oMath>
        <m:r>
          <w:rPr>
            <w:rFonts w:ascii="Cambria Math" w:hAnsi="Cambria Math"/>
          </w:rPr>
          <m:t>NaOH</m:t>
        </m:r>
      </m:oMath>
      <w:r>
        <w:t xml:space="preserve"> como electrolito. El electrolizador se instrumentó con una fuente de CD programable y con equipos de medición de alta resolución controlados mediante el protocolo VISA. Para garantizar la reproducibilidad de los experimentos, se desarrolló una interfaz en Python para adquirir automáticamente las variables eléctricas y obtener las curvas de polarización tensión–corriente del sistema</w:t>
      </w:r>
      <w:r w:rsidR="00E43E82">
        <w:t>; en la Figura 1 se muestra la metodología general de la investigación.</w:t>
      </w:r>
    </w:p>
    <w:p w14:paraId="7CEA9557" w14:textId="77777777" w:rsidR="0039502A" w:rsidRDefault="00992888">
      <w:pPr>
        <w:pStyle w:val="CaptionedFigure"/>
      </w:pPr>
      <w:bookmarkStart w:id="3" w:name="fig:methodology"/>
      <w:r>
        <w:lastRenderedPageBreak/>
        <w:drawing>
          <wp:inline distT="0" distB="0" distL="0" distR="0" wp14:anchorId="091C46CB" wp14:editId="5567514B">
            <wp:extent cx="3050275" cy="2518012"/>
            <wp:effectExtent l="0" t="0" r="0" b="0"/>
            <wp:docPr id="19" name="Picture" descr="Metodología implementada para el sistema de caracterización"/>
            <wp:cNvGraphicFramePr/>
            <a:graphic xmlns:a="http://schemas.openxmlformats.org/drawingml/2006/main">
              <a:graphicData uri="http://schemas.openxmlformats.org/drawingml/2006/picture">
                <pic:pic xmlns:pic="http://schemas.openxmlformats.org/drawingml/2006/picture">
                  <pic:nvPicPr>
                    <pic:cNvPr id="20" name="Picture" descr="methodology.jpg"/>
                    <pic:cNvPicPr>
                      <a:picLocks noChangeAspect="1" noChangeArrowheads="1"/>
                    </pic:cNvPicPr>
                  </pic:nvPicPr>
                  <pic:blipFill>
                    <a:blip r:embed="rId7"/>
                    <a:stretch>
                      <a:fillRect/>
                    </a:stretch>
                  </pic:blipFill>
                  <pic:spPr bwMode="auto">
                    <a:xfrm>
                      <a:off x="0" y="0"/>
                      <a:ext cx="3068593" cy="2533134"/>
                    </a:xfrm>
                    <a:prstGeom prst="rect">
                      <a:avLst/>
                    </a:prstGeom>
                    <a:noFill/>
                    <a:ln w="9525">
                      <a:noFill/>
                      <a:headEnd/>
                      <a:tailEnd/>
                    </a:ln>
                  </pic:spPr>
                </pic:pic>
              </a:graphicData>
            </a:graphic>
          </wp:inline>
        </w:drawing>
      </w:r>
    </w:p>
    <w:p w14:paraId="4E701F91" w14:textId="506E4843" w:rsidR="0039502A" w:rsidRDefault="00992888">
      <w:pPr>
        <w:pStyle w:val="ImageCaption"/>
      </w:pPr>
      <w:r>
        <w:t>Figur</w:t>
      </w:r>
      <w:r w:rsidR="00456E81">
        <w:t>a</w:t>
      </w:r>
      <w:r>
        <w:t xml:space="preserve"> 1</w:t>
      </w:r>
      <w:r w:rsidR="00456E81">
        <w:t>.</w:t>
      </w:r>
      <w:r>
        <w:t xml:space="preserve"> Metodología implementada para el sistema de caracterización</w:t>
      </w:r>
      <w:r w:rsidR="0085266B">
        <w:t>.</w:t>
      </w:r>
    </w:p>
    <w:p w14:paraId="3E77EC58" w14:textId="77777777" w:rsidR="0039502A" w:rsidRDefault="00992888">
      <w:pPr>
        <w:pStyle w:val="Ttulo2"/>
      </w:pPr>
      <w:bookmarkStart w:id="4" w:name="electrolizador"/>
      <w:bookmarkEnd w:id="3"/>
      <w:r>
        <w:t>Electrolizador</w:t>
      </w:r>
    </w:p>
    <w:p w14:paraId="278F4C29" w14:textId="4ED2DF1B" w:rsidR="007265A5" w:rsidRPr="007265A5" w:rsidRDefault="007265A5" w:rsidP="007265A5">
      <w:pPr>
        <w:pStyle w:val="Textoindependiente"/>
      </w:pPr>
      <w:r>
        <w:tab/>
        <w:t xml:space="preserve">Desde la perspectiva de la identificación de sistemas, el electrolizador empleado se considera una planta experimental compuesta por un electrolizador de agua alcalino dividido en tres elementos fundamentales: electrodos, electrolito y carcasa. Los electrodos son los encargados de inyectar la corriente al electrolito para producir la electrólisis y, debido a su exposición directa a la reacción química, requieren materiales resistentes a la corrosión; por ello, se utilizan electrodos de </w:t>
      </w:r>
      <w:r>
        <w:rPr>
          <w:i/>
          <w:iCs/>
        </w:rPr>
        <w:t xml:space="preserve">Acero Inoxidable 304 </w:t>
      </w:r>
      <w:r>
        <w:t xml:space="preserve">de calibre 22 (0.740mm aprox.), con un área expuesta de </w:t>
      </w:r>
      <m:oMath>
        <m:r>
          <w:rPr>
            <w:rFonts w:ascii="Cambria Math" w:hAnsi="Cambria Math"/>
          </w:rPr>
          <m:t>90 m</m:t>
        </m:r>
        <m:sSup>
          <m:sSupPr>
            <m:ctrlPr>
              <w:rPr>
                <w:rFonts w:ascii="Cambria Math" w:hAnsi="Cambria Math"/>
                <w:i/>
              </w:rPr>
            </m:ctrlPr>
          </m:sSupPr>
          <m:e>
            <m:r>
              <w:rPr>
                <w:rFonts w:ascii="Cambria Math" w:hAnsi="Cambria Math"/>
              </w:rPr>
              <m:t>m</m:t>
            </m:r>
          </m:e>
          <m:sup>
            <m:r>
              <w:rPr>
                <w:rFonts w:ascii="Cambria Math" w:hAnsi="Cambria Math"/>
              </w:rPr>
              <m:t>2</m:t>
            </m:r>
          </m:sup>
        </m:sSup>
      </m:oMath>
      <w:r>
        <w:rPr>
          <w:rFonts w:eastAsiaTheme="minorEastAsia"/>
        </w:rPr>
        <w:t xml:space="preserve"> y dimensiones totales de </w:t>
      </w:r>
      <m:oMath>
        <m:r>
          <w:rPr>
            <w:rFonts w:ascii="Cambria Math" w:eastAsiaTheme="minorEastAsia" w:hAnsi="Cambria Math"/>
          </w:rPr>
          <m:t>20x93 mm</m:t>
        </m:r>
      </m:oMath>
      <w:r>
        <w:rPr>
          <w:rFonts w:eastAsiaTheme="minorEastAsia"/>
        </w:rPr>
        <w:t xml:space="preserve"> definidas por el diseño de la carcasa. El electrolito es </w:t>
      </w:r>
      <w:r w:rsidR="00E43E82">
        <w:rPr>
          <w:rFonts w:eastAsiaTheme="minorEastAsia"/>
        </w:rPr>
        <w:t xml:space="preserve">una </w:t>
      </w:r>
      <w:r>
        <w:rPr>
          <w:rFonts w:eastAsiaTheme="minorEastAsia"/>
        </w:rPr>
        <w:t xml:space="preserve">solución 1 M de </w:t>
      </w:r>
      <w:r w:rsidR="00E43E82">
        <w:rPr>
          <w:rFonts w:eastAsiaTheme="minorEastAsia"/>
          <w:i/>
          <w:iCs/>
        </w:rPr>
        <w:t>h</w:t>
      </w:r>
      <w:r>
        <w:rPr>
          <w:rFonts w:eastAsiaTheme="minorEastAsia"/>
          <w:i/>
          <w:iCs/>
        </w:rPr>
        <w:t xml:space="preserve">idróxido de </w:t>
      </w:r>
      <w:r w:rsidR="00E43E82">
        <w:rPr>
          <w:rFonts w:eastAsiaTheme="minorEastAsia"/>
          <w:i/>
          <w:iCs/>
        </w:rPr>
        <w:t>s</w:t>
      </w:r>
      <w:r>
        <w:rPr>
          <w:rFonts w:eastAsiaTheme="minorEastAsia"/>
          <w:i/>
          <w:iCs/>
        </w:rPr>
        <w:t xml:space="preserve">odio </w:t>
      </w:r>
      <m:oMath>
        <m:r>
          <w:rPr>
            <w:rFonts w:ascii="Cambria Math" w:eastAsiaTheme="minorEastAsia" w:hAnsi="Cambria Math"/>
          </w:rPr>
          <m:t>(NaOH)</m:t>
        </m:r>
      </m:oMath>
      <w:r>
        <w:rPr>
          <w:rFonts w:eastAsiaTheme="minorEastAsia"/>
          <w:i/>
          <w:iCs/>
        </w:rPr>
        <w:t xml:space="preserve"> </w:t>
      </w:r>
      <w:r>
        <w:rPr>
          <w:rFonts w:eastAsiaTheme="minorEastAsia"/>
        </w:rPr>
        <w:t xml:space="preserve">disuelta en agua destilada. Finalmente, la carcasa del sistema consiste en </w:t>
      </w:r>
      <w:r w:rsidR="00A96177">
        <w:rPr>
          <w:rFonts w:eastAsiaTheme="minorEastAsia"/>
        </w:rPr>
        <w:t>un recipiente</w:t>
      </w:r>
      <w:r>
        <w:rPr>
          <w:rFonts w:eastAsiaTheme="minorEastAsia"/>
        </w:rPr>
        <w:t xml:space="preserve"> de vidrio con una tapa impresa en 3D, fabricada en </w:t>
      </w:r>
      <w:r w:rsidR="00E43E82">
        <w:rPr>
          <w:rFonts w:eastAsiaTheme="minorEastAsia"/>
          <w:i/>
          <w:iCs/>
        </w:rPr>
        <w:t>p</w:t>
      </w:r>
      <w:r>
        <w:rPr>
          <w:rFonts w:eastAsiaTheme="minorEastAsia"/>
          <w:i/>
          <w:iCs/>
        </w:rPr>
        <w:t>olipropileno (PPP)</w:t>
      </w:r>
      <w:r>
        <w:rPr>
          <w:rFonts w:eastAsiaTheme="minorEastAsia"/>
        </w:rPr>
        <w:t xml:space="preserve"> para asegurar resistencia química y evitar daños por corrosión, garantiza</w:t>
      </w:r>
      <w:r w:rsidR="00E43E82">
        <w:rPr>
          <w:rFonts w:eastAsiaTheme="minorEastAsia"/>
        </w:rPr>
        <w:t>n</w:t>
      </w:r>
      <w:r>
        <w:rPr>
          <w:rFonts w:eastAsiaTheme="minorEastAsia"/>
        </w:rPr>
        <w:t xml:space="preserve">do así una operación adecuada del electrolizador. </w:t>
      </w:r>
    </w:p>
    <w:p w14:paraId="082B5243" w14:textId="0AC5F158" w:rsidR="0039502A" w:rsidRDefault="00992888">
      <w:pPr>
        <w:pStyle w:val="Ttulo2"/>
      </w:pPr>
      <w:bookmarkStart w:id="5" w:name="instrumentos-de-medición."/>
      <w:bookmarkEnd w:id="4"/>
      <w:r>
        <w:t>Instrumentos de Medición</w:t>
      </w:r>
    </w:p>
    <w:p w14:paraId="00FF886B" w14:textId="5AB9D22C" w:rsidR="0039502A" w:rsidRDefault="00992888">
      <w:pPr>
        <w:pStyle w:val="FirstParagraph"/>
      </w:pPr>
      <w:r>
        <w:t xml:space="preserve">El sistema ha sido alimentado con una fuente programable de CD </w:t>
      </w:r>
      <w:r>
        <w:rPr>
          <w:i/>
          <w:iCs/>
        </w:rPr>
        <w:t>Agilent NA5770A</w:t>
      </w:r>
      <w:r>
        <w:t xml:space="preserve">, capaz de suministrar 1500 W. El voltaje entre el ánodo y el cátodo se mide con un multímetro de precisión </w:t>
      </w:r>
      <w:r>
        <w:rPr>
          <w:i/>
          <w:iCs/>
        </w:rPr>
        <w:t>Picotest M3500A</w:t>
      </w:r>
      <w:r w:rsidR="00AA7C93">
        <w:rPr>
          <w:i/>
          <w:iCs/>
        </w:rPr>
        <w:t>,</w:t>
      </w:r>
      <w:r>
        <w:t xml:space="preserve"> con resolución de 10 </w:t>
      </w:r>
      <m:oMath>
        <m:r>
          <w:rPr>
            <w:rFonts w:ascii="Cambria Math" w:hAnsi="Cambria Math"/>
          </w:rPr>
          <m:t>μV</m:t>
        </m:r>
      </m:oMath>
      <w:r>
        <w:t xml:space="preserve"> (</w:t>
      </w:r>
      <m:oMath>
        <m:r>
          <w:rPr>
            <w:rFonts w:ascii="Cambria Math" w:hAnsi="Cambria Math"/>
          </w:rPr>
          <m:t>10E</m:t>
        </m:r>
        <m:r>
          <m:rPr>
            <m:sty m:val="p"/>
          </m:rPr>
          <w:rPr>
            <w:rFonts w:ascii="Cambria Math" w:hAnsi="Cambria Math"/>
          </w:rPr>
          <m:t>-</m:t>
        </m:r>
        <m:r>
          <w:rPr>
            <w:rFonts w:ascii="Cambria Math" w:hAnsi="Cambria Math"/>
          </w:rPr>
          <m:t>6</m:t>
        </m:r>
      </m:oMath>
      <w:r>
        <w:t xml:space="preserve">). Mientras que la corriente que circula se mide con un multímetro </w:t>
      </w:r>
      <w:r>
        <w:rPr>
          <w:i/>
          <w:iCs/>
        </w:rPr>
        <w:t>Tektronix DMM4040</w:t>
      </w:r>
      <w:r w:rsidR="0085266B">
        <w:rPr>
          <w:i/>
          <w:iCs/>
        </w:rPr>
        <w:t>,</w:t>
      </w:r>
      <w:r>
        <w:t xml:space="preserve"> con resolución de 100 </w:t>
      </w:r>
      <m:oMath>
        <m:r>
          <w:rPr>
            <w:rFonts w:ascii="Cambria Math" w:hAnsi="Cambria Math"/>
          </w:rPr>
          <m:t>pA</m:t>
        </m:r>
      </m:oMath>
      <w:r>
        <w:t xml:space="preserve"> (</w:t>
      </w:r>
      <m:oMath>
        <m:r>
          <w:rPr>
            <w:rFonts w:ascii="Cambria Math" w:hAnsi="Cambria Math"/>
          </w:rPr>
          <m:t>10E</m:t>
        </m:r>
        <m:r>
          <m:rPr>
            <m:sty m:val="p"/>
          </m:rPr>
          <w:rPr>
            <w:rFonts w:ascii="Cambria Math" w:hAnsi="Cambria Math"/>
          </w:rPr>
          <m:t>-</m:t>
        </m:r>
        <m:r>
          <w:rPr>
            <w:rFonts w:ascii="Cambria Math" w:hAnsi="Cambria Math"/>
          </w:rPr>
          <m:t>12</m:t>
        </m:r>
      </m:oMath>
      <w:r>
        <w:t xml:space="preserve">), ambos dispositivos </w:t>
      </w:r>
      <w:r w:rsidR="0085266B">
        <w:t>tiene</w:t>
      </w:r>
      <w:r>
        <w:t xml:space="preserve">n resolución global de pantalla de 6 1/2 dígitos; véase la Figura </w:t>
      </w:r>
      <w:r w:rsidR="00456E81">
        <w:t>2</w:t>
      </w:r>
      <w:r>
        <w:t>.</w:t>
      </w:r>
    </w:p>
    <w:p w14:paraId="66212D90" w14:textId="3357247C" w:rsidR="0039502A" w:rsidRDefault="00992888">
      <w:pPr>
        <w:pStyle w:val="CaptionedFigure"/>
      </w:pPr>
      <w:bookmarkStart w:id="6" w:name="fig:conex_inst"/>
      <w:r>
        <w:drawing>
          <wp:inline distT="0" distB="0" distL="0" distR="0" wp14:anchorId="17C14EA3" wp14:editId="36B41E59">
            <wp:extent cx="1862919" cy="2176817"/>
            <wp:effectExtent l="0" t="0" r="0" b="0"/>
            <wp:docPr id="31" name="Picture" descr="Diagrama de Conexión de Instrumentos"/>
            <wp:cNvGraphicFramePr/>
            <a:graphic xmlns:a="http://schemas.openxmlformats.org/drawingml/2006/main">
              <a:graphicData uri="http://schemas.openxmlformats.org/drawingml/2006/picture">
                <pic:pic xmlns:pic="http://schemas.openxmlformats.org/drawingml/2006/picture">
                  <pic:nvPicPr>
                    <pic:cNvPr id="32" name="Picture" descr="conexion_instrumentos.jpg"/>
                    <pic:cNvPicPr>
                      <a:picLocks noChangeAspect="1" noChangeArrowheads="1"/>
                    </pic:cNvPicPr>
                  </pic:nvPicPr>
                  <pic:blipFill>
                    <a:blip r:embed="rId8"/>
                    <a:stretch>
                      <a:fillRect/>
                    </a:stretch>
                  </pic:blipFill>
                  <pic:spPr bwMode="auto">
                    <a:xfrm>
                      <a:off x="0" y="0"/>
                      <a:ext cx="1878300" cy="2194789"/>
                    </a:xfrm>
                    <a:prstGeom prst="rect">
                      <a:avLst/>
                    </a:prstGeom>
                    <a:noFill/>
                    <a:ln w="9525">
                      <a:noFill/>
                      <a:headEnd/>
                      <a:tailEnd/>
                    </a:ln>
                  </pic:spPr>
                </pic:pic>
              </a:graphicData>
            </a:graphic>
          </wp:inline>
        </w:drawing>
      </w:r>
    </w:p>
    <w:p w14:paraId="21DDCC1A" w14:textId="5B2C6011" w:rsidR="0039502A" w:rsidRDefault="00992888">
      <w:pPr>
        <w:pStyle w:val="ImageCaption"/>
      </w:pPr>
      <w:r>
        <w:t>Figur</w:t>
      </w:r>
      <w:r w:rsidR="00456E81">
        <w:t>a</w:t>
      </w:r>
      <w:r>
        <w:t xml:space="preserve"> </w:t>
      </w:r>
      <w:r w:rsidR="00BD0BAE">
        <w:t>2</w:t>
      </w:r>
      <w:r w:rsidR="00456E81">
        <w:t>.</w:t>
      </w:r>
      <w:r>
        <w:t xml:space="preserve"> Diagrama de Conexión de Instrumentos</w:t>
      </w:r>
      <w:r w:rsidR="0085266B">
        <w:t>.</w:t>
      </w:r>
    </w:p>
    <w:p w14:paraId="54EBB7C4" w14:textId="77777777" w:rsidR="0039502A" w:rsidRPr="00F8596E" w:rsidRDefault="00992888">
      <w:pPr>
        <w:pStyle w:val="Ttulo3"/>
        <w:rPr>
          <w:lang w:val="es-MX"/>
        </w:rPr>
      </w:pPr>
      <w:bookmarkStart w:id="7" w:name="adquisición-de-datos"/>
      <w:bookmarkEnd w:id="6"/>
      <w:r w:rsidRPr="00F8596E">
        <w:rPr>
          <w:lang w:val="es-MX"/>
        </w:rPr>
        <w:lastRenderedPageBreak/>
        <w:t>Adquisición de Datos</w:t>
      </w:r>
    </w:p>
    <w:p w14:paraId="3334B5A1" w14:textId="71D2B25F" w:rsidR="0039502A" w:rsidRPr="00A96177" w:rsidRDefault="00992888" w:rsidP="00A96177">
      <w:pPr>
        <w:pStyle w:val="FirstParagraph"/>
      </w:pPr>
      <w:r>
        <w:t xml:space="preserve">Los instrumentos de medición </w:t>
      </w:r>
      <w:r w:rsidR="00A96177">
        <w:t>utilizan el protocolo VISA (</w:t>
      </w:r>
      <w:r w:rsidR="00A96177" w:rsidRPr="00A96177">
        <w:t>Virtual Instrument Software Architecture</w:t>
      </w:r>
      <w:r w:rsidR="00A96177">
        <w:t>), una API (interfaz de programación de aplicaciones) estandarizada para comunicarse con equipos de prueba mediante USB y RS-232. Para gestionar esta comunicación se emplea NI-VISA, mientras que la librería PyVisa permite que Python controle los instrumentos mediante comandos SCPI (</w:t>
      </w:r>
      <w:r w:rsidR="00A96177" w:rsidRPr="00A96177">
        <w:t>Standard Commands for Programmable Instruments</w:t>
      </w:r>
      <w:r w:rsidR="00A96177">
        <w:t xml:space="preserve">) y automatice las lecturas. Sobre esta base se desarrolla una interfaz gráfica que muestra las variables medidas y calcula parámetros derivados, registrándolos en una tabla para su análisis posterior. Esta tabla incluye: </w:t>
      </w:r>
      <w:r w:rsidR="00A96177">
        <w:rPr>
          <w:i/>
          <w:iCs/>
        </w:rPr>
        <w:t xml:space="preserve">Número de Muestra, Voltaje Inyectado, Voltaje </w:t>
      </w:r>
      <w:r w:rsidR="00E43E82">
        <w:rPr>
          <w:i/>
          <w:iCs/>
        </w:rPr>
        <w:t xml:space="preserve">de </w:t>
      </w:r>
      <w:r w:rsidR="00A96177">
        <w:rPr>
          <w:i/>
          <w:iCs/>
        </w:rPr>
        <w:t>Electrodos, Corriente Inyectada, Corriente</w:t>
      </w:r>
      <w:r w:rsidR="00E43E82">
        <w:rPr>
          <w:i/>
          <w:iCs/>
        </w:rPr>
        <w:t xml:space="preserve"> de</w:t>
      </w:r>
      <w:r w:rsidR="00A96177">
        <w:rPr>
          <w:i/>
          <w:iCs/>
        </w:rPr>
        <w:t xml:space="preserve"> Electrodos, Resistencia, Temperatura </w:t>
      </w:r>
      <w:r w:rsidR="00A96177">
        <w:t xml:space="preserve">y </w:t>
      </w:r>
      <w:r w:rsidR="00A96177">
        <w:rPr>
          <w:i/>
          <w:iCs/>
        </w:rPr>
        <w:t xml:space="preserve">Observaciones. </w:t>
      </w:r>
    </w:p>
    <w:p w14:paraId="0828B1D1" w14:textId="77777777" w:rsidR="0039502A" w:rsidRPr="00D47FA5" w:rsidRDefault="00992888">
      <w:pPr>
        <w:pStyle w:val="Ttulo3"/>
        <w:rPr>
          <w:lang w:val="es-MX"/>
        </w:rPr>
      </w:pPr>
      <w:bookmarkStart w:id="8" w:name="flujo-de-trabajo-de-interfaz"/>
      <w:bookmarkEnd w:id="7"/>
      <w:r w:rsidRPr="00D47FA5">
        <w:rPr>
          <w:lang w:val="es-MX"/>
        </w:rPr>
        <w:t>Flujo de Trabajo de Interfaz</w:t>
      </w:r>
    </w:p>
    <w:p w14:paraId="04B2BA7E" w14:textId="3E635ACF" w:rsidR="0039502A" w:rsidRPr="00852165" w:rsidRDefault="00992888" w:rsidP="00F15418">
      <w:pPr>
        <w:pStyle w:val="FirstParagraph"/>
      </w:pPr>
      <w:r>
        <w:t>Al iniciar la interfaz gráfica</w:t>
      </w:r>
      <w:r w:rsidR="00852165">
        <w:t xml:space="preserve">, </w:t>
      </w:r>
      <w:r w:rsidR="0085266B">
        <w:t>se muestra</w:t>
      </w:r>
      <w:r w:rsidR="00852165">
        <w:t xml:space="preserve"> una primera pantalla </w:t>
      </w:r>
      <w:r w:rsidR="0085266B">
        <w:t>(</w:t>
      </w:r>
      <w:r w:rsidR="00852165">
        <w:t>Fig</w:t>
      </w:r>
      <w:r w:rsidR="0085266B">
        <w:t>ura</w:t>
      </w:r>
      <w:r w:rsidR="00852165">
        <w:t xml:space="preserve"> 4</w:t>
      </w:r>
      <w:r w:rsidR="0085266B">
        <w:t>)</w:t>
      </w:r>
      <w:r w:rsidR="00852165">
        <w:t xml:space="preserve"> </w:t>
      </w:r>
      <w:r w:rsidR="0085266B">
        <w:t>en la qu</w:t>
      </w:r>
      <w:r w:rsidR="00852165">
        <w:t xml:space="preserve">e el usuario ingresa el nombre de la experimentación y las consideraciones iniciales. En esta ventana se ofrecen dos opciones: </w:t>
      </w:r>
      <w:r w:rsidR="00852165">
        <w:rPr>
          <w:i/>
          <w:iCs/>
        </w:rPr>
        <w:t>Begin New Experiment,</w:t>
      </w:r>
      <w:r w:rsidR="00852165">
        <w:t xml:space="preserve"> que crea un archivo “.csv” con el nombre proporcionado y la fecha y hora de inicio, y </w:t>
      </w:r>
      <w:r w:rsidR="00852165">
        <w:rPr>
          <w:i/>
          <w:iCs/>
        </w:rPr>
        <w:t>Load Existing File</w:t>
      </w:r>
      <w:r w:rsidR="00852165">
        <w:t xml:space="preserve">, que permite seleccionar un archivo previo para continuar con su edición </w:t>
      </w:r>
      <w:r w:rsidR="0085266B">
        <w:t>en</w:t>
      </w:r>
      <w:r w:rsidR="00852165">
        <w:t xml:space="preserve"> una ventana del explorador. En ambos casos, el archivo contiene las tablas </w:t>
      </w:r>
      <w:r w:rsidR="0085266B">
        <w:t>en las qu</w:t>
      </w:r>
      <w:r w:rsidR="00852165">
        <w:t xml:space="preserve">e se registrarán los parámetros y los datos obtenidos durante la experimentación. </w:t>
      </w:r>
    </w:p>
    <w:p w14:paraId="57A9326A" w14:textId="77777777" w:rsidR="0039502A" w:rsidRDefault="00992888">
      <w:pPr>
        <w:pStyle w:val="CaptionedFigure"/>
      </w:pPr>
      <w:bookmarkStart w:id="9" w:name="fig:first_screen"/>
      <w:r>
        <w:drawing>
          <wp:inline distT="0" distB="0" distL="0" distR="0" wp14:anchorId="0D2A0EA9" wp14:editId="701B1952">
            <wp:extent cx="1842447" cy="1869743"/>
            <wp:effectExtent l="0" t="0" r="5715" b="0"/>
            <wp:docPr id="36" name="Picture" descr="Captura de pantalla del primer paso de la interfaz gráfica."/>
            <wp:cNvGraphicFramePr/>
            <a:graphic xmlns:a="http://schemas.openxmlformats.org/drawingml/2006/main">
              <a:graphicData uri="http://schemas.openxmlformats.org/drawingml/2006/picture">
                <pic:pic xmlns:pic="http://schemas.openxmlformats.org/drawingml/2006/picture">
                  <pic:nvPicPr>
                    <pic:cNvPr id="37" name="Picture" descr="first_screen.jpg"/>
                    <pic:cNvPicPr>
                      <a:picLocks noChangeAspect="1" noChangeArrowheads="1"/>
                    </pic:cNvPicPr>
                  </pic:nvPicPr>
                  <pic:blipFill>
                    <a:blip r:embed="rId9"/>
                    <a:stretch>
                      <a:fillRect/>
                    </a:stretch>
                  </pic:blipFill>
                  <pic:spPr bwMode="auto">
                    <a:xfrm>
                      <a:off x="0" y="0"/>
                      <a:ext cx="1874379" cy="1902148"/>
                    </a:xfrm>
                    <a:prstGeom prst="rect">
                      <a:avLst/>
                    </a:prstGeom>
                    <a:noFill/>
                    <a:ln w="9525">
                      <a:noFill/>
                      <a:headEnd/>
                      <a:tailEnd/>
                    </a:ln>
                  </pic:spPr>
                </pic:pic>
              </a:graphicData>
            </a:graphic>
          </wp:inline>
        </w:drawing>
      </w:r>
    </w:p>
    <w:p w14:paraId="10FFF7A6" w14:textId="37C9182F" w:rsidR="0039502A" w:rsidRDefault="00992888">
      <w:pPr>
        <w:pStyle w:val="ImageCaption"/>
      </w:pPr>
      <w:r>
        <w:t>Figur</w:t>
      </w:r>
      <w:r w:rsidR="0085266B">
        <w:t>a 4.</w:t>
      </w:r>
      <w:r>
        <w:t xml:space="preserve"> Captura de pantalla del primer paso de la interfaz gráfica.</w:t>
      </w:r>
    </w:p>
    <w:bookmarkEnd w:id="9"/>
    <w:p w14:paraId="46CC5C1E" w14:textId="78475C41" w:rsidR="0039502A" w:rsidRDefault="00992888" w:rsidP="00A13497">
      <w:pPr>
        <w:pStyle w:val="Textoindependiente"/>
        <w:ind w:firstLine="720"/>
      </w:pPr>
      <w:r>
        <w:t xml:space="preserve">Una vez seleccionado un archivo existente o creado uno nuevo, la interfaz despliega una segunda pantalla </w:t>
      </w:r>
      <w:r w:rsidR="0085266B">
        <w:t>en la qu</w:t>
      </w:r>
      <w:r>
        <w:t>e es posible modificar los parámetros y comenzar la adquisición de datos. La Figura</w:t>
      </w:r>
      <w:r w:rsidR="0085266B">
        <w:t xml:space="preserve"> </w:t>
      </w:r>
      <w:r>
        <w:t xml:space="preserve">5 muestra un ejemplo de un experimento previamente generado y </w:t>
      </w:r>
      <w:r w:rsidR="0085266B">
        <w:t xml:space="preserve">de </w:t>
      </w:r>
      <w:r>
        <w:t>cómo los campos se cargan automáticamente con la información ya registrada, permitiendo continuar sin perder el progreso.</w:t>
      </w:r>
    </w:p>
    <w:p w14:paraId="28F6C94F" w14:textId="77777777" w:rsidR="0039502A" w:rsidRDefault="00992888">
      <w:pPr>
        <w:pStyle w:val="CaptionedFigure"/>
      </w:pPr>
      <w:bookmarkStart w:id="10" w:name="fig:app"/>
      <w:r>
        <w:drawing>
          <wp:inline distT="0" distB="0" distL="0" distR="0" wp14:anchorId="732BD270" wp14:editId="6EFA1416">
            <wp:extent cx="4046561" cy="2756847"/>
            <wp:effectExtent l="0" t="0" r="0" b="0"/>
            <wp:docPr id="40" name="Picture" descr="Captura de pantalla de la aplicación para recolectar mediciones I-V."/>
            <wp:cNvGraphicFramePr/>
            <a:graphic xmlns:a="http://schemas.openxmlformats.org/drawingml/2006/main">
              <a:graphicData uri="http://schemas.openxmlformats.org/drawingml/2006/picture">
                <pic:pic xmlns:pic="http://schemas.openxmlformats.org/drawingml/2006/picture">
                  <pic:nvPicPr>
                    <pic:cNvPr id="41" name="Picture" descr="second_screen.jpg"/>
                    <pic:cNvPicPr>
                      <a:picLocks noChangeAspect="1" noChangeArrowheads="1"/>
                    </pic:cNvPicPr>
                  </pic:nvPicPr>
                  <pic:blipFill>
                    <a:blip r:embed="rId10"/>
                    <a:stretch>
                      <a:fillRect/>
                    </a:stretch>
                  </pic:blipFill>
                  <pic:spPr bwMode="auto">
                    <a:xfrm>
                      <a:off x="0" y="0"/>
                      <a:ext cx="4075248" cy="2776391"/>
                    </a:xfrm>
                    <a:prstGeom prst="rect">
                      <a:avLst/>
                    </a:prstGeom>
                    <a:noFill/>
                    <a:ln w="9525">
                      <a:noFill/>
                      <a:headEnd/>
                      <a:tailEnd/>
                    </a:ln>
                  </pic:spPr>
                </pic:pic>
              </a:graphicData>
            </a:graphic>
          </wp:inline>
        </w:drawing>
      </w:r>
    </w:p>
    <w:p w14:paraId="1E95B072" w14:textId="23BB503F" w:rsidR="0039502A" w:rsidRDefault="00992888">
      <w:pPr>
        <w:pStyle w:val="ImageCaption"/>
      </w:pPr>
      <w:r>
        <w:t>Figur</w:t>
      </w:r>
      <w:r w:rsidR="005F6DDD">
        <w:t>a</w:t>
      </w:r>
      <w:r>
        <w:t xml:space="preserve"> </w:t>
      </w:r>
      <w:r w:rsidR="0085266B">
        <w:t>5</w:t>
      </w:r>
      <w:r w:rsidR="005F6DDD">
        <w:t>.</w:t>
      </w:r>
      <w:r>
        <w:t xml:space="preserve"> Captura de pantalla de la aplicación para </w:t>
      </w:r>
      <w:r w:rsidR="0085266B">
        <w:t>la recolección de</w:t>
      </w:r>
      <w:r>
        <w:t xml:space="preserve"> mediciones I-V.</w:t>
      </w:r>
    </w:p>
    <w:bookmarkEnd w:id="10"/>
    <w:p w14:paraId="402F0204" w14:textId="7EBD4176" w:rsidR="0039502A" w:rsidRDefault="00992888" w:rsidP="00A13497">
      <w:pPr>
        <w:pStyle w:val="Textoindependiente"/>
        <w:ind w:firstLine="720"/>
      </w:pPr>
      <w:r>
        <w:lastRenderedPageBreak/>
        <w:t>A</w:t>
      </w:r>
      <w:r w:rsidR="00F2434B">
        <w:t xml:space="preserve">ntes de desplegar la interfaz inicializa los instrumentos mediante la clase </w:t>
      </w:r>
      <w:r w:rsidR="00F2434B">
        <w:rPr>
          <w:i/>
          <w:iCs/>
        </w:rPr>
        <w:t xml:space="preserve">Instruments, </w:t>
      </w:r>
      <w:r w:rsidR="00F2434B">
        <w:t xml:space="preserve">la cual ejecuta un escaneo de direcciones y abre los canales de comunicación usando la función </w:t>
      </w:r>
      <w:r w:rsidR="00F2434B">
        <w:rPr>
          <w:i/>
          <w:iCs/>
        </w:rPr>
        <w:t>open_resource</w:t>
      </w:r>
      <w:r w:rsidR="00F2434B">
        <w:t xml:space="preserve"> de PyVisa; si la comunicación es correcta, se habilita la manipulación completa del sistema, y en caso contrario se muestra un mensaje de error, permitiendo únicamente visualizar datos existentes sin adquirir nuevos registros. En esta pantalla se introduce</w:t>
      </w:r>
      <w:r w:rsidR="0085266B">
        <w:t>n</w:t>
      </w:r>
      <w:r w:rsidR="00F2434B">
        <w:t xml:space="preserve"> el número de muestras en</w:t>
      </w:r>
      <w:r w:rsidR="00F2434B">
        <w:rPr>
          <w:i/>
          <w:iCs/>
        </w:rPr>
        <w:t xml:space="preserve"> No Sample</w:t>
      </w:r>
      <w:r w:rsidR="00F2434B">
        <w:t xml:space="preserve"> y los valores de </w:t>
      </w:r>
      <w:r w:rsidR="00F2434B">
        <w:rPr>
          <w:i/>
          <w:iCs/>
        </w:rPr>
        <w:t xml:space="preserve">SetPoint Voltage </w:t>
      </w:r>
      <w:r w:rsidR="00F2434B">
        <w:t xml:space="preserve">y </w:t>
      </w:r>
      <w:r w:rsidR="00A96177">
        <w:rPr>
          <w:i/>
          <w:iCs/>
        </w:rPr>
        <w:t xml:space="preserve">Offset, </w:t>
      </w:r>
      <w:r w:rsidR="00A96177">
        <w:t>que</w:t>
      </w:r>
      <w:r w:rsidR="00F2434B">
        <w:t xml:space="preserve"> al presionar </w:t>
      </w:r>
      <w:r w:rsidR="00F2434B">
        <w:rPr>
          <w:i/>
          <w:iCs/>
        </w:rPr>
        <w:t xml:space="preserve">Set </w:t>
      </w:r>
      <w:r w:rsidR="00A96177">
        <w:rPr>
          <w:i/>
          <w:iCs/>
        </w:rPr>
        <w:t>Vo</w:t>
      </w:r>
      <w:r w:rsidR="0085266B">
        <w:rPr>
          <w:i/>
          <w:iCs/>
        </w:rPr>
        <w:t>lt</w:t>
      </w:r>
      <w:r w:rsidR="00A96177">
        <w:rPr>
          <w:i/>
          <w:iCs/>
        </w:rPr>
        <w:t xml:space="preserve">age </w:t>
      </w:r>
      <w:r w:rsidR="00A96177">
        <w:t>se</w:t>
      </w:r>
      <w:r w:rsidR="00F2434B">
        <w:t xml:space="preserve"> suman y</w:t>
      </w:r>
      <w:r w:rsidR="0085266B">
        <w:t xml:space="preserve"> se</w:t>
      </w:r>
      <w:r w:rsidR="00F2434B">
        <w:t xml:space="preserve"> envían a la fuente, la cual solo activa la salida al presionar </w:t>
      </w:r>
      <w:r w:rsidR="00F2434B">
        <w:rPr>
          <w:i/>
          <w:iCs/>
        </w:rPr>
        <w:t xml:space="preserve">Output ON. </w:t>
      </w:r>
      <w:r w:rsidR="00F2434B">
        <w:t xml:space="preserve">También se define el número de promedio en </w:t>
      </w:r>
      <w:r w:rsidR="00F2434B">
        <w:rPr>
          <w:i/>
          <w:iCs/>
        </w:rPr>
        <w:t xml:space="preserve">Average </w:t>
      </w:r>
      <w:r w:rsidR="00F2434B">
        <w:t xml:space="preserve">y se visualizan </w:t>
      </w:r>
      <w:r w:rsidR="0085266B">
        <w:t>automáticamente</w:t>
      </w:r>
      <w:r w:rsidR="00F2434B">
        <w:t xml:space="preserve"> los campos </w:t>
      </w:r>
      <w:r w:rsidR="00F2434B">
        <w:rPr>
          <w:i/>
          <w:iCs/>
        </w:rPr>
        <w:t xml:space="preserve">Input Voltage, Input Current, Electrodes Voltage, Electrodes </w:t>
      </w:r>
      <w:r w:rsidR="00A96177">
        <w:rPr>
          <w:i/>
          <w:iCs/>
        </w:rPr>
        <w:t xml:space="preserve">Current </w:t>
      </w:r>
      <w:r w:rsidR="00A96177">
        <w:t xml:space="preserve">y </w:t>
      </w:r>
      <w:r w:rsidR="00A96177">
        <w:rPr>
          <w:i/>
          <w:iCs/>
        </w:rPr>
        <w:t>Resistance</w:t>
      </w:r>
      <w:r w:rsidR="00F2434B">
        <w:t xml:space="preserve">, mientras que la adquisición puede hacerse una sola vez con </w:t>
      </w:r>
      <w:r w:rsidR="00F2434B">
        <w:rPr>
          <w:i/>
          <w:iCs/>
        </w:rPr>
        <w:t>Read Once</w:t>
      </w:r>
      <w:r w:rsidR="00F2434B">
        <w:t xml:space="preserve"> o de manera continua </w:t>
      </w:r>
      <w:r w:rsidR="00A96177">
        <w:t xml:space="preserve">con </w:t>
      </w:r>
      <w:r w:rsidR="00A96177">
        <w:rPr>
          <w:i/>
          <w:iCs/>
        </w:rPr>
        <w:t>Auto</w:t>
      </w:r>
      <w:r w:rsidR="00F2434B">
        <w:rPr>
          <w:i/>
          <w:iCs/>
        </w:rPr>
        <w:t xml:space="preserve"> </w:t>
      </w:r>
      <w:r w:rsidR="00A96177">
        <w:rPr>
          <w:i/>
          <w:iCs/>
        </w:rPr>
        <w:t xml:space="preserve">ON </w:t>
      </w:r>
      <w:r w:rsidR="00A96177">
        <w:t>y detenerse</w:t>
      </w:r>
      <w:r w:rsidR="00F2434B">
        <w:t xml:space="preserve"> con </w:t>
      </w:r>
      <w:r w:rsidR="00F2434B">
        <w:rPr>
          <w:i/>
          <w:iCs/>
        </w:rPr>
        <w:t>Auto OFF</w:t>
      </w:r>
      <w:r w:rsidR="00F2434B">
        <w:t>. Los</w:t>
      </w:r>
      <w:r w:rsidR="00A96177">
        <w:t xml:space="preserve"> campos </w:t>
      </w:r>
      <w:r w:rsidR="00A96177">
        <w:rPr>
          <w:i/>
          <w:iCs/>
        </w:rPr>
        <w:t xml:space="preserve">Temperature </w:t>
      </w:r>
      <w:r w:rsidR="00A96177">
        <w:t xml:space="preserve">y </w:t>
      </w:r>
      <w:r w:rsidR="00A96177">
        <w:rPr>
          <w:i/>
          <w:iCs/>
        </w:rPr>
        <w:t xml:space="preserve">Observations </w:t>
      </w:r>
      <w:r w:rsidR="00A96177">
        <w:t>se registran manualmente. Una vez verificados los da</w:t>
      </w:r>
      <w:r w:rsidR="0085266B">
        <w:t>t</w:t>
      </w:r>
      <w:r w:rsidR="00A96177">
        <w:t xml:space="preserve">os, el usuario los guarda mediante el botón </w:t>
      </w:r>
      <w:r w:rsidR="00A96177">
        <w:rPr>
          <w:i/>
          <w:iCs/>
        </w:rPr>
        <w:t>Accept</w:t>
      </w:r>
      <w:r w:rsidR="00A96177">
        <w:t>, que sobreescribe únicamente la muestra correspondiente y limpia los campos manuales para la siguiente captura</w:t>
      </w:r>
      <w:r w:rsidR="0085266B">
        <w:t>.</w:t>
      </w:r>
      <w:r w:rsidR="00A96177">
        <w:t xml:space="preserve"> Finalmente, la parte inferior de la interfaz muestra un recuadro que se actualiza con cada registro, permitiendo observar en tiempo real el avance del experimento.</w:t>
      </w:r>
      <w:r w:rsidR="0085266B">
        <w:t xml:space="preserve"> El diagrama de flujo de todo el proceso se generaliza en la Figura 6.</w:t>
      </w:r>
      <w:r w:rsidR="00A96177">
        <w:t xml:space="preserve"> </w:t>
      </w:r>
      <w:r w:rsidR="00F2434B">
        <w:t xml:space="preserve"> </w:t>
      </w:r>
      <w:r>
        <w:t xml:space="preserve"> </w:t>
      </w:r>
    </w:p>
    <w:p w14:paraId="666D287F" w14:textId="5908A4E3" w:rsidR="0039502A" w:rsidRDefault="00F2434B">
      <w:pPr>
        <w:pStyle w:val="CaptionedFigure"/>
      </w:pPr>
      <w:bookmarkStart w:id="11" w:name="fig:diag_flujo"/>
      <w:r>
        <w:drawing>
          <wp:inline distT="0" distB="0" distL="0" distR="0" wp14:anchorId="3BAA77A0" wp14:editId="6C3E6FAA">
            <wp:extent cx="1555845" cy="2333769"/>
            <wp:effectExtent l="0" t="0" r="0" b="0"/>
            <wp:docPr id="17670833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083319" name="Imagen 1767083319"/>
                    <pic:cNvPicPr/>
                  </pic:nvPicPr>
                  <pic:blipFill>
                    <a:blip r:embed="rId11"/>
                    <a:stretch>
                      <a:fillRect/>
                    </a:stretch>
                  </pic:blipFill>
                  <pic:spPr>
                    <a:xfrm>
                      <a:off x="0" y="0"/>
                      <a:ext cx="1582261" cy="2373392"/>
                    </a:xfrm>
                    <a:prstGeom prst="rect">
                      <a:avLst/>
                    </a:prstGeom>
                  </pic:spPr>
                </pic:pic>
              </a:graphicData>
            </a:graphic>
          </wp:inline>
        </w:drawing>
      </w:r>
    </w:p>
    <w:p w14:paraId="04B77033" w14:textId="73CB5943" w:rsidR="0039502A" w:rsidRDefault="00992888">
      <w:pPr>
        <w:pStyle w:val="ImageCaption"/>
      </w:pPr>
      <w:r>
        <w:t>Figur</w:t>
      </w:r>
      <w:r w:rsidR="0085266B">
        <w:t>a</w:t>
      </w:r>
      <w:r>
        <w:t xml:space="preserve"> </w:t>
      </w:r>
      <w:r w:rsidR="0085266B">
        <w:t>6.</w:t>
      </w:r>
      <w:r>
        <w:t xml:space="preserve"> Diagrama de </w:t>
      </w:r>
      <w:r w:rsidR="0085266B">
        <w:t>f</w:t>
      </w:r>
      <w:r>
        <w:t xml:space="preserve">lujo de </w:t>
      </w:r>
      <w:r w:rsidR="0085266B">
        <w:t>i</w:t>
      </w:r>
      <w:r>
        <w:t xml:space="preserve">nterfaz </w:t>
      </w:r>
      <w:r w:rsidR="0085266B">
        <w:t>g</w:t>
      </w:r>
      <w:r>
        <w:t>ráfica.</w:t>
      </w:r>
    </w:p>
    <w:p w14:paraId="3D8BEBE3" w14:textId="77777777" w:rsidR="0039502A" w:rsidRDefault="00992888">
      <w:pPr>
        <w:pStyle w:val="Ttulo1"/>
      </w:pPr>
      <w:bookmarkStart w:id="12" w:name="resultados"/>
      <w:bookmarkEnd w:id="2"/>
      <w:bookmarkEnd w:id="5"/>
      <w:bookmarkEnd w:id="8"/>
      <w:bookmarkEnd w:id="11"/>
      <w:r>
        <w:t>Resultados</w:t>
      </w:r>
    </w:p>
    <w:p w14:paraId="3BE52FD1" w14:textId="1BFDA346" w:rsidR="0039502A" w:rsidRDefault="00992888">
      <w:pPr>
        <w:pStyle w:val="FirstParagraph"/>
      </w:pPr>
      <w:r>
        <w:t xml:space="preserve">Cada experimento de caracterización </w:t>
      </w:r>
      <m:oMath>
        <m:r>
          <w:rPr>
            <w:rFonts w:ascii="Cambria Math" w:hAnsi="Cambria Math"/>
          </w:rPr>
          <m:t>I</m:t>
        </m:r>
        <m:r>
          <m:rPr>
            <m:sty m:val="p"/>
          </m:rPr>
          <w:rPr>
            <w:rFonts w:ascii="Cambria Math" w:hAnsi="Cambria Math"/>
          </w:rPr>
          <m:t>-</m:t>
        </m:r>
        <m:r>
          <w:rPr>
            <w:rFonts w:ascii="Cambria Math" w:hAnsi="Cambria Math"/>
          </w:rPr>
          <m:t>V</m:t>
        </m:r>
      </m:oMath>
      <w:r>
        <w:t xml:space="preserve"> dura apr</w:t>
      </w:r>
      <w:r w:rsidR="0085266B">
        <w:t>o</w:t>
      </w:r>
      <w:r>
        <w:t xml:space="preserve">ximadamente </w:t>
      </w:r>
      <w:r w:rsidR="0085266B">
        <w:t>entr</w:t>
      </w:r>
      <w:r>
        <w:t xml:space="preserve">e 135 </w:t>
      </w:r>
      <w:r w:rsidR="0085266B">
        <w:t>y</w:t>
      </w:r>
      <w:r>
        <w:t xml:space="preserve"> 150 minutos y genera una curva de polarización. Esta curva representa las condiciones de operación e iniciales del electrolizador. La forma en la que se realiza cada experimentación es la siguiente:</w:t>
      </w:r>
    </w:p>
    <w:p w14:paraId="2600A30F" w14:textId="1624360D" w:rsidR="00AC5735" w:rsidRDefault="00AC5735">
      <w:pPr>
        <w:pStyle w:val="Compact"/>
        <w:numPr>
          <w:ilvl w:val="0"/>
          <w:numId w:val="6"/>
        </w:numPr>
      </w:pPr>
      <w:r>
        <w:t>Se aplican incrementos de 0.1V en la inyección de voltaje hacia la planta experimental</w:t>
      </w:r>
      <w:r w:rsidR="00F13FDD">
        <w:t>, avanzado paso a paso hasta alcanzar el limite de corriente que puede suministrar la fuente de alimentación</w:t>
      </w:r>
      <w:r w:rsidR="00D57E78">
        <w:t>, en este caso 10.5 A.</w:t>
      </w:r>
    </w:p>
    <w:p w14:paraId="54C3D0CC" w14:textId="54965325" w:rsidR="0039502A" w:rsidRDefault="00992888">
      <w:pPr>
        <w:pStyle w:val="Compact"/>
        <w:numPr>
          <w:ilvl w:val="0"/>
          <w:numId w:val="6"/>
        </w:numPr>
      </w:pPr>
      <w:r>
        <w:t>Se espera un tiempo aproximado de 1 min entre paso</w:t>
      </w:r>
      <w:r w:rsidR="0085266B">
        <w:t>s</w:t>
      </w:r>
      <w:r>
        <w:t xml:space="preserve"> para la estab</w:t>
      </w:r>
      <w:r w:rsidR="0085266B">
        <w:t>i</w:t>
      </w:r>
      <w:r>
        <w:t>lización de la medición.</w:t>
      </w:r>
    </w:p>
    <w:p w14:paraId="772DF99F" w14:textId="1E325814" w:rsidR="0039502A" w:rsidRDefault="00992888">
      <w:pPr>
        <w:pStyle w:val="Compact"/>
        <w:numPr>
          <w:ilvl w:val="0"/>
          <w:numId w:val="6"/>
        </w:numPr>
      </w:pPr>
      <w:r>
        <w:t>Se establece un promedio de 5 muestras para la toma de cada par</w:t>
      </w:r>
      <w:r w:rsidR="0085266B">
        <w:t>áme</w:t>
      </w:r>
      <w:r>
        <w:t>tro.</w:t>
      </w:r>
    </w:p>
    <w:p w14:paraId="2A9E0316" w14:textId="6CBDD81D" w:rsidR="00F15418" w:rsidRPr="00F15418" w:rsidRDefault="00992888" w:rsidP="00CB23C1">
      <w:pPr>
        <w:pStyle w:val="FirstParagraph"/>
        <w:ind w:firstLine="0"/>
      </w:pPr>
      <w:r>
        <w:t>Una vez terminada la experimentaci</w:t>
      </w:r>
      <w:r w:rsidR="0085266B">
        <w:t>ón</w:t>
      </w:r>
      <w:r w:rsidR="0034305E">
        <w:t>,</w:t>
      </w:r>
      <w:r>
        <w:t xml:space="preserve"> se obtiene una tabla como la </w:t>
      </w:r>
      <w:r w:rsidR="0034305E">
        <w:t>mostrada en el Cuadro 1.</w:t>
      </w:r>
    </w:p>
    <w:tbl>
      <w:tblPr>
        <w:tblStyle w:val="Table"/>
        <w:tblW w:w="9599" w:type="dxa"/>
        <w:tblLook w:val="0020" w:firstRow="1" w:lastRow="0" w:firstColumn="0" w:lastColumn="0" w:noHBand="0" w:noVBand="0"/>
      </w:tblPr>
      <w:tblGrid>
        <w:gridCol w:w="1869"/>
        <w:gridCol w:w="1271"/>
        <w:gridCol w:w="1578"/>
        <w:gridCol w:w="1714"/>
        <w:gridCol w:w="1170"/>
        <w:gridCol w:w="1997"/>
      </w:tblGrid>
      <w:tr w:rsidR="00BD0BAE" w14:paraId="3ADB2CAC" w14:textId="77777777" w:rsidTr="00F8596E">
        <w:trPr>
          <w:cnfStyle w:val="100000000000" w:firstRow="1" w:lastRow="0" w:firstColumn="0" w:lastColumn="0" w:oddVBand="0" w:evenVBand="0" w:oddHBand="0" w:evenHBand="0" w:firstRowFirstColumn="0" w:firstRowLastColumn="0" w:lastRowFirstColumn="0" w:lastRowLastColumn="0"/>
          <w:trHeight w:val="274"/>
          <w:tblHeader/>
        </w:trPr>
        <w:tc>
          <w:tcPr>
            <w:tcW w:w="0" w:type="auto"/>
          </w:tcPr>
          <w:p w14:paraId="3AB7F322" w14:textId="77777777" w:rsidR="0039502A" w:rsidRPr="0034305E" w:rsidRDefault="00992888" w:rsidP="0034305E">
            <w:pPr>
              <w:pStyle w:val="Compact"/>
              <w:jc w:val="center"/>
              <w:rPr>
                <w:b/>
                <w:bCs/>
              </w:rPr>
            </w:pPr>
            <w:r w:rsidRPr="0034305E">
              <w:rPr>
                <w:b/>
                <w:bCs/>
              </w:rPr>
              <w:t>No Sample</w:t>
            </w:r>
          </w:p>
        </w:tc>
        <w:tc>
          <w:tcPr>
            <w:tcW w:w="0" w:type="auto"/>
          </w:tcPr>
          <w:p w14:paraId="3DF728EE" w14:textId="77777777" w:rsidR="0039502A" w:rsidRPr="0034305E" w:rsidRDefault="00992888" w:rsidP="0034305E">
            <w:pPr>
              <w:pStyle w:val="Compact"/>
              <w:jc w:val="center"/>
              <w:rPr>
                <w:b/>
                <w:bCs/>
              </w:rPr>
            </w:pPr>
            <w:r w:rsidRPr="0034305E">
              <w:rPr>
                <w:b/>
                <w:bCs/>
              </w:rPr>
              <w:t>V Apli</w:t>
            </w:r>
          </w:p>
        </w:tc>
        <w:tc>
          <w:tcPr>
            <w:tcW w:w="0" w:type="auto"/>
          </w:tcPr>
          <w:p w14:paraId="4DEA1A89" w14:textId="77777777" w:rsidR="0039502A" w:rsidRPr="0034305E" w:rsidRDefault="00992888" w:rsidP="0034305E">
            <w:pPr>
              <w:pStyle w:val="Compact"/>
              <w:jc w:val="center"/>
              <w:rPr>
                <w:b/>
                <w:bCs/>
              </w:rPr>
            </w:pPr>
            <w:r w:rsidRPr="0034305E">
              <w:rPr>
                <w:b/>
                <w:bCs/>
              </w:rPr>
              <w:t>V Elec</w:t>
            </w:r>
          </w:p>
        </w:tc>
        <w:tc>
          <w:tcPr>
            <w:tcW w:w="0" w:type="auto"/>
          </w:tcPr>
          <w:p w14:paraId="2908DF13" w14:textId="77777777" w:rsidR="0039502A" w:rsidRPr="0034305E" w:rsidRDefault="00992888" w:rsidP="0034305E">
            <w:pPr>
              <w:pStyle w:val="Compact"/>
              <w:jc w:val="center"/>
              <w:rPr>
                <w:b/>
                <w:bCs/>
              </w:rPr>
            </w:pPr>
            <w:r w:rsidRPr="0034305E">
              <w:rPr>
                <w:b/>
                <w:bCs/>
              </w:rPr>
              <w:t>Corriente</w:t>
            </w:r>
          </w:p>
        </w:tc>
        <w:tc>
          <w:tcPr>
            <w:tcW w:w="0" w:type="auto"/>
          </w:tcPr>
          <w:p w14:paraId="5462A58E" w14:textId="77777777" w:rsidR="0039502A" w:rsidRPr="0034305E" w:rsidRDefault="00992888" w:rsidP="0034305E">
            <w:pPr>
              <w:pStyle w:val="Compact"/>
              <w:jc w:val="center"/>
              <w:rPr>
                <w:b/>
                <w:bCs/>
              </w:rPr>
            </w:pPr>
            <w:r w:rsidRPr="0034305E">
              <w:rPr>
                <w:b/>
                <w:bCs/>
              </w:rPr>
              <w:t>Temp</w:t>
            </w:r>
          </w:p>
        </w:tc>
        <w:tc>
          <w:tcPr>
            <w:tcW w:w="0" w:type="auto"/>
          </w:tcPr>
          <w:p w14:paraId="677627A1" w14:textId="77777777" w:rsidR="0039502A" w:rsidRPr="0034305E" w:rsidRDefault="00992888" w:rsidP="0034305E">
            <w:pPr>
              <w:pStyle w:val="Compact"/>
              <w:jc w:val="center"/>
              <w:rPr>
                <w:b/>
                <w:bCs/>
              </w:rPr>
            </w:pPr>
            <w:r w:rsidRPr="0034305E">
              <w:rPr>
                <w:b/>
                <w:bCs/>
              </w:rPr>
              <w:t>Nota</w:t>
            </w:r>
          </w:p>
        </w:tc>
      </w:tr>
      <w:tr w:rsidR="00BD0BAE" w14:paraId="286F5BC3" w14:textId="77777777" w:rsidTr="00F8596E">
        <w:trPr>
          <w:trHeight w:val="274"/>
        </w:trPr>
        <w:tc>
          <w:tcPr>
            <w:tcW w:w="0" w:type="auto"/>
          </w:tcPr>
          <w:p w14:paraId="054D8C84" w14:textId="77777777" w:rsidR="0039502A" w:rsidRDefault="00992888" w:rsidP="0034305E">
            <w:pPr>
              <w:pStyle w:val="Compact"/>
              <w:jc w:val="center"/>
            </w:pPr>
            <w:r>
              <w:t>10</w:t>
            </w:r>
          </w:p>
        </w:tc>
        <w:tc>
          <w:tcPr>
            <w:tcW w:w="0" w:type="auto"/>
          </w:tcPr>
          <w:p w14:paraId="0B14691E" w14:textId="77777777" w:rsidR="0039502A" w:rsidRDefault="00992888" w:rsidP="0034305E">
            <w:pPr>
              <w:pStyle w:val="Compact"/>
              <w:jc w:val="center"/>
            </w:pPr>
            <w:r>
              <w:t>1</w:t>
            </w:r>
          </w:p>
        </w:tc>
        <w:tc>
          <w:tcPr>
            <w:tcW w:w="0" w:type="auto"/>
          </w:tcPr>
          <w:p w14:paraId="29114A1D" w14:textId="77777777" w:rsidR="0039502A" w:rsidRDefault="00992888" w:rsidP="0034305E">
            <w:pPr>
              <w:pStyle w:val="Compact"/>
              <w:jc w:val="center"/>
            </w:pPr>
            <w:r>
              <w:t>0.973572</w:t>
            </w:r>
          </w:p>
        </w:tc>
        <w:tc>
          <w:tcPr>
            <w:tcW w:w="0" w:type="auto"/>
          </w:tcPr>
          <w:p w14:paraId="17550671" w14:textId="77777777" w:rsidR="0039502A" w:rsidRDefault="00992888" w:rsidP="0034305E">
            <w:pPr>
              <w:pStyle w:val="Compact"/>
              <w:jc w:val="center"/>
            </w:pPr>
            <w:r>
              <w:t>0.000037</w:t>
            </w:r>
          </w:p>
        </w:tc>
        <w:tc>
          <w:tcPr>
            <w:tcW w:w="0" w:type="auto"/>
          </w:tcPr>
          <w:p w14:paraId="33E4D09A" w14:textId="77777777" w:rsidR="0039502A" w:rsidRDefault="00992888" w:rsidP="0034305E">
            <w:pPr>
              <w:pStyle w:val="Compact"/>
              <w:jc w:val="center"/>
            </w:pPr>
            <w:r>
              <w:t>18.29</w:t>
            </w:r>
          </w:p>
        </w:tc>
        <w:tc>
          <w:tcPr>
            <w:tcW w:w="0" w:type="auto"/>
          </w:tcPr>
          <w:p w14:paraId="6C237C95" w14:textId="77777777" w:rsidR="0039502A" w:rsidRDefault="00992888" w:rsidP="0034305E">
            <w:pPr>
              <w:pStyle w:val="Compact"/>
              <w:jc w:val="center"/>
            </w:pPr>
            <w:r>
              <w:t>No burbujeo</w:t>
            </w:r>
          </w:p>
        </w:tc>
      </w:tr>
      <w:tr w:rsidR="00BD0BAE" w14:paraId="64BA9B87" w14:textId="77777777" w:rsidTr="00F8596E">
        <w:trPr>
          <w:trHeight w:val="274"/>
        </w:trPr>
        <w:tc>
          <w:tcPr>
            <w:tcW w:w="0" w:type="auto"/>
          </w:tcPr>
          <w:p w14:paraId="53201697" w14:textId="77777777" w:rsidR="0039502A" w:rsidRDefault="00992888" w:rsidP="0034305E">
            <w:pPr>
              <w:pStyle w:val="Compact"/>
              <w:jc w:val="center"/>
            </w:pPr>
            <w:r>
              <w:t>11</w:t>
            </w:r>
          </w:p>
        </w:tc>
        <w:tc>
          <w:tcPr>
            <w:tcW w:w="0" w:type="auto"/>
          </w:tcPr>
          <w:p w14:paraId="110F7507" w14:textId="77777777" w:rsidR="0039502A" w:rsidRDefault="00992888" w:rsidP="0034305E">
            <w:pPr>
              <w:pStyle w:val="Compact"/>
              <w:jc w:val="center"/>
            </w:pPr>
            <w:r>
              <w:t>1.1</w:t>
            </w:r>
          </w:p>
        </w:tc>
        <w:tc>
          <w:tcPr>
            <w:tcW w:w="0" w:type="auto"/>
          </w:tcPr>
          <w:p w14:paraId="19093CAD" w14:textId="77777777" w:rsidR="0039502A" w:rsidRDefault="00992888" w:rsidP="0034305E">
            <w:pPr>
              <w:pStyle w:val="Compact"/>
              <w:jc w:val="center"/>
            </w:pPr>
            <w:r>
              <w:t>1.076372</w:t>
            </w:r>
          </w:p>
        </w:tc>
        <w:tc>
          <w:tcPr>
            <w:tcW w:w="0" w:type="auto"/>
          </w:tcPr>
          <w:p w14:paraId="126975FE" w14:textId="77777777" w:rsidR="0039502A" w:rsidRDefault="00992888" w:rsidP="0034305E">
            <w:pPr>
              <w:pStyle w:val="Compact"/>
              <w:jc w:val="center"/>
            </w:pPr>
            <w:r>
              <w:t>0.000036</w:t>
            </w:r>
          </w:p>
        </w:tc>
        <w:tc>
          <w:tcPr>
            <w:tcW w:w="0" w:type="auto"/>
          </w:tcPr>
          <w:p w14:paraId="72E04D23" w14:textId="77777777" w:rsidR="0039502A" w:rsidRDefault="00992888" w:rsidP="0034305E">
            <w:pPr>
              <w:pStyle w:val="Compact"/>
              <w:jc w:val="center"/>
            </w:pPr>
            <w:r>
              <w:t>18.00</w:t>
            </w:r>
          </w:p>
        </w:tc>
        <w:tc>
          <w:tcPr>
            <w:tcW w:w="0" w:type="auto"/>
          </w:tcPr>
          <w:p w14:paraId="21FC3CF1" w14:textId="77777777" w:rsidR="0039502A" w:rsidRDefault="00992888" w:rsidP="0034305E">
            <w:pPr>
              <w:pStyle w:val="Compact"/>
              <w:jc w:val="center"/>
            </w:pPr>
            <w:r>
              <w:t>No burbujeo</w:t>
            </w:r>
          </w:p>
        </w:tc>
      </w:tr>
      <w:tr w:rsidR="00BD0BAE" w14:paraId="78FAB584" w14:textId="77777777" w:rsidTr="00F8596E">
        <w:trPr>
          <w:trHeight w:val="274"/>
        </w:trPr>
        <w:tc>
          <w:tcPr>
            <w:tcW w:w="0" w:type="auto"/>
          </w:tcPr>
          <w:p w14:paraId="65ED69CD" w14:textId="77777777" w:rsidR="0039502A" w:rsidRDefault="00992888" w:rsidP="0034305E">
            <w:pPr>
              <w:pStyle w:val="Compact"/>
              <w:jc w:val="center"/>
            </w:pPr>
            <w:r>
              <w:t>12</w:t>
            </w:r>
          </w:p>
        </w:tc>
        <w:tc>
          <w:tcPr>
            <w:tcW w:w="0" w:type="auto"/>
          </w:tcPr>
          <w:p w14:paraId="6000BC8E" w14:textId="77777777" w:rsidR="0039502A" w:rsidRDefault="00992888" w:rsidP="0034305E">
            <w:pPr>
              <w:pStyle w:val="Compact"/>
              <w:jc w:val="center"/>
            </w:pPr>
            <w:r>
              <w:t>1.2</w:t>
            </w:r>
          </w:p>
        </w:tc>
        <w:tc>
          <w:tcPr>
            <w:tcW w:w="0" w:type="auto"/>
          </w:tcPr>
          <w:p w14:paraId="174E80AF" w14:textId="77777777" w:rsidR="0039502A" w:rsidRDefault="00992888" w:rsidP="0034305E">
            <w:pPr>
              <w:pStyle w:val="Compact"/>
              <w:jc w:val="center"/>
            </w:pPr>
            <w:r>
              <w:t>1.175873</w:t>
            </w:r>
          </w:p>
        </w:tc>
        <w:tc>
          <w:tcPr>
            <w:tcW w:w="0" w:type="auto"/>
          </w:tcPr>
          <w:p w14:paraId="39AB7F09" w14:textId="77777777" w:rsidR="0039502A" w:rsidRDefault="00992888" w:rsidP="0034305E">
            <w:pPr>
              <w:pStyle w:val="Compact"/>
              <w:jc w:val="center"/>
            </w:pPr>
            <w:r>
              <w:t>0.000097</w:t>
            </w:r>
          </w:p>
        </w:tc>
        <w:tc>
          <w:tcPr>
            <w:tcW w:w="0" w:type="auto"/>
          </w:tcPr>
          <w:p w14:paraId="03353E5C" w14:textId="77777777" w:rsidR="0039502A" w:rsidRDefault="00992888" w:rsidP="0034305E">
            <w:pPr>
              <w:pStyle w:val="Compact"/>
              <w:jc w:val="center"/>
            </w:pPr>
            <w:r>
              <w:t>18.42</w:t>
            </w:r>
          </w:p>
        </w:tc>
        <w:tc>
          <w:tcPr>
            <w:tcW w:w="0" w:type="auto"/>
          </w:tcPr>
          <w:p w14:paraId="2CA60AD7" w14:textId="77777777" w:rsidR="0039502A" w:rsidRDefault="00992888" w:rsidP="0034305E">
            <w:pPr>
              <w:pStyle w:val="Compact"/>
              <w:jc w:val="center"/>
            </w:pPr>
            <w:r>
              <w:t>No burbujeo</w:t>
            </w:r>
          </w:p>
        </w:tc>
      </w:tr>
      <w:tr w:rsidR="00BD0BAE" w14:paraId="38996348" w14:textId="77777777" w:rsidTr="00F8596E">
        <w:trPr>
          <w:trHeight w:val="283"/>
        </w:trPr>
        <w:tc>
          <w:tcPr>
            <w:tcW w:w="0" w:type="auto"/>
          </w:tcPr>
          <w:p w14:paraId="451290E0" w14:textId="77777777" w:rsidR="0039502A" w:rsidRDefault="00992888" w:rsidP="0034305E">
            <w:pPr>
              <w:pStyle w:val="Compact"/>
              <w:jc w:val="center"/>
            </w:pPr>
            <w:r>
              <w:t>13</w:t>
            </w:r>
          </w:p>
        </w:tc>
        <w:tc>
          <w:tcPr>
            <w:tcW w:w="0" w:type="auto"/>
          </w:tcPr>
          <w:p w14:paraId="744CA808" w14:textId="77777777" w:rsidR="0039502A" w:rsidRDefault="00992888" w:rsidP="0034305E">
            <w:pPr>
              <w:pStyle w:val="Compact"/>
              <w:jc w:val="center"/>
            </w:pPr>
            <w:r>
              <w:t>1.3</w:t>
            </w:r>
          </w:p>
        </w:tc>
        <w:tc>
          <w:tcPr>
            <w:tcW w:w="0" w:type="auto"/>
          </w:tcPr>
          <w:p w14:paraId="3BD71FC3" w14:textId="77777777" w:rsidR="0039502A" w:rsidRDefault="00992888" w:rsidP="0034305E">
            <w:pPr>
              <w:pStyle w:val="Compact"/>
              <w:jc w:val="center"/>
            </w:pPr>
            <w:r>
              <w:t>1.275934</w:t>
            </w:r>
          </w:p>
        </w:tc>
        <w:tc>
          <w:tcPr>
            <w:tcW w:w="0" w:type="auto"/>
          </w:tcPr>
          <w:p w14:paraId="46EA4233" w14:textId="77777777" w:rsidR="0039502A" w:rsidRDefault="00992888" w:rsidP="0034305E">
            <w:pPr>
              <w:pStyle w:val="Compact"/>
              <w:jc w:val="center"/>
            </w:pPr>
            <w:r>
              <w:t>0.000241</w:t>
            </w:r>
          </w:p>
        </w:tc>
        <w:tc>
          <w:tcPr>
            <w:tcW w:w="0" w:type="auto"/>
          </w:tcPr>
          <w:p w14:paraId="23FA6782" w14:textId="77777777" w:rsidR="0039502A" w:rsidRDefault="00992888" w:rsidP="0034305E">
            <w:pPr>
              <w:pStyle w:val="Compact"/>
              <w:jc w:val="center"/>
            </w:pPr>
            <w:r>
              <w:t>18.49</w:t>
            </w:r>
          </w:p>
        </w:tc>
        <w:tc>
          <w:tcPr>
            <w:tcW w:w="0" w:type="auto"/>
          </w:tcPr>
          <w:p w14:paraId="5861BCEB" w14:textId="77777777" w:rsidR="0039502A" w:rsidRDefault="00992888" w:rsidP="0034305E">
            <w:pPr>
              <w:pStyle w:val="Compact"/>
              <w:jc w:val="center"/>
            </w:pPr>
            <w:r>
              <w:t>No burbujeo</w:t>
            </w:r>
          </w:p>
        </w:tc>
      </w:tr>
      <w:tr w:rsidR="00BD0BAE" w14:paraId="63D1F24A" w14:textId="77777777" w:rsidTr="00F8596E">
        <w:trPr>
          <w:trHeight w:val="274"/>
        </w:trPr>
        <w:tc>
          <w:tcPr>
            <w:tcW w:w="0" w:type="auto"/>
          </w:tcPr>
          <w:p w14:paraId="6F8287D0" w14:textId="77777777" w:rsidR="0039502A" w:rsidRDefault="00992888" w:rsidP="0034305E">
            <w:pPr>
              <w:pStyle w:val="Compact"/>
              <w:jc w:val="center"/>
            </w:pPr>
            <w:r>
              <w:t>14</w:t>
            </w:r>
          </w:p>
        </w:tc>
        <w:tc>
          <w:tcPr>
            <w:tcW w:w="0" w:type="auto"/>
          </w:tcPr>
          <w:p w14:paraId="7DA11B6A" w14:textId="77777777" w:rsidR="0039502A" w:rsidRDefault="00992888" w:rsidP="0034305E">
            <w:pPr>
              <w:pStyle w:val="Compact"/>
              <w:jc w:val="center"/>
            </w:pPr>
            <w:r>
              <w:t>1.4</w:t>
            </w:r>
          </w:p>
        </w:tc>
        <w:tc>
          <w:tcPr>
            <w:tcW w:w="0" w:type="auto"/>
          </w:tcPr>
          <w:p w14:paraId="28A59E3B" w14:textId="77777777" w:rsidR="0039502A" w:rsidRDefault="00992888" w:rsidP="0034305E">
            <w:pPr>
              <w:pStyle w:val="Compact"/>
              <w:jc w:val="center"/>
            </w:pPr>
            <w:r>
              <w:t>1.3757</w:t>
            </w:r>
          </w:p>
        </w:tc>
        <w:tc>
          <w:tcPr>
            <w:tcW w:w="0" w:type="auto"/>
          </w:tcPr>
          <w:p w14:paraId="74B4067C" w14:textId="77777777" w:rsidR="0039502A" w:rsidRDefault="00992888" w:rsidP="0034305E">
            <w:pPr>
              <w:pStyle w:val="Compact"/>
              <w:jc w:val="center"/>
            </w:pPr>
            <w:r>
              <w:t>0.000389</w:t>
            </w:r>
          </w:p>
        </w:tc>
        <w:tc>
          <w:tcPr>
            <w:tcW w:w="0" w:type="auto"/>
          </w:tcPr>
          <w:p w14:paraId="3969C712" w14:textId="77777777" w:rsidR="0039502A" w:rsidRDefault="00992888" w:rsidP="0034305E">
            <w:pPr>
              <w:pStyle w:val="Compact"/>
              <w:jc w:val="center"/>
            </w:pPr>
            <w:r>
              <w:t>18.54</w:t>
            </w:r>
          </w:p>
        </w:tc>
        <w:tc>
          <w:tcPr>
            <w:tcW w:w="0" w:type="auto"/>
          </w:tcPr>
          <w:p w14:paraId="2A06D97A" w14:textId="77777777" w:rsidR="0039502A" w:rsidRDefault="00992888" w:rsidP="0034305E">
            <w:pPr>
              <w:pStyle w:val="Compact"/>
              <w:jc w:val="center"/>
            </w:pPr>
            <w:r>
              <w:t>No burbujeo</w:t>
            </w:r>
          </w:p>
        </w:tc>
      </w:tr>
      <w:tr w:rsidR="00BD0BAE" w14:paraId="6F40830B" w14:textId="77777777" w:rsidTr="00F8596E">
        <w:trPr>
          <w:trHeight w:val="274"/>
        </w:trPr>
        <w:tc>
          <w:tcPr>
            <w:tcW w:w="0" w:type="auto"/>
          </w:tcPr>
          <w:p w14:paraId="0848D9FA" w14:textId="77777777" w:rsidR="0039502A" w:rsidRDefault="00992888" w:rsidP="0034305E">
            <w:pPr>
              <w:pStyle w:val="Compact"/>
              <w:jc w:val="center"/>
            </w:pPr>
            <w:r>
              <w:t>15</w:t>
            </w:r>
          </w:p>
        </w:tc>
        <w:tc>
          <w:tcPr>
            <w:tcW w:w="0" w:type="auto"/>
          </w:tcPr>
          <w:p w14:paraId="6DDEFE2B" w14:textId="77777777" w:rsidR="0039502A" w:rsidRDefault="00992888" w:rsidP="0034305E">
            <w:pPr>
              <w:pStyle w:val="Compact"/>
              <w:jc w:val="center"/>
            </w:pPr>
            <w:r>
              <w:t>1.5</w:t>
            </w:r>
          </w:p>
        </w:tc>
        <w:tc>
          <w:tcPr>
            <w:tcW w:w="0" w:type="auto"/>
          </w:tcPr>
          <w:p w14:paraId="1EC9BA39" w14:textId="77777777" w:rsidR="0039502A" w:rsidRDefault="00992888" w:rsidP="0034305E">
            <w:pPr>
              <w:pStyle w:val="Compact"/>
              <w:jc w:val="center"/>
            </w:pPr>
            <w:r>
              <w:t>1.475798</w:t>
            </w:r>
          </w:p>
        </w:tc>
        <w:tc>
          <w:tcPr>
            <w:tcW w:w="0" w:type="auto"/>
          </w:tcPr>
          <w:p w14:paraId="3BF9E743" w14:textId="77777777" w:rsidR="0039502A" w:rsidRDefault="00992888" w:rsidP="0034305E">
            <w:pPr>
              <w:pStyle w:val="Compact"/>
              <w:jc w:val="center"/>
            </w:pPr>
            <w:r>
              <w:t>0.000647</w:t>
            </w:r>
          </w:p>
        </w:tc>
        <w:tc>
          <w:tcPr>
            <w:tcW w:w="0" w:type="auto"/>
          </w:tcPr>
          <w:p w14:paraId="7D29C4E9" w14:textId="77777777" w:rsidR="0039502A" w:rsidRDefault="00992888" w:rsidP="0034305E">
            <w:pPr>
              <w:pStyle w:val="Compact"/>
              <w:jc w:val="center"/>
            </w:pPr>
            <w:r>
              <w:t>18.60</w:t>
            </w:r>
          </w:p>
        </w:tc>
        <w:tc>
          <w:tcPr>
            <w:tcW w:w="0" w:type="auto"/>
          </w:tcPr>
          <w:p w14:paraId="46741B1A" w14:textId="77777777" w:rsidR="0039502A" w:rsidRDefault="00992888" w:rsidP="0034305E">
            <w:pPr>
              <w:pStyle w:val="Compact"/>
              <w:jc w:val="center"/>
            </w:pPr>
            <w:r>
              <w:t>No burbujeo</w:t>
            </w:r>
          </w:p>
        </w:tc>
      </w:tr>
      <w:tr w:rsidR="00BD0BAE" w14:paraId="40750DEE" w14:textId="77777777" w:rsidTr="00F8596E">
        <w:trPr>
          <w:trHeight w:val="274"/>
        </w:trPr>
        <w:tc>
          <w:tcPr>
            <w:tcW w:w="0" w:type="auto"/>
          </w:tcPr>
          <w:p w14:paraId="18F02B98" w14:textId="77777777" w:rsidR="0039502A" w:rsidRDefault="00992888" w:rsidP="0034305E">
            <w:pPr>
              <w:pStyle w:val="Compact"/>
              <w:jc w:val="center"/>
            </w:pPr>
            <w:r>
              <w:t>16</w:t>
            </w:r>
          </w:p>
        </w:tc>
        <w:tc>
          <w:tcPr>
            <w:tcW w:w="0" w:type="auto"/>
          </w:tcPr>
          <w:p w14:paraId="50C51D97" w14:textId="77777777" w:rsidR="0039502A" w:rsidRDefault="00992888" w:rsidP="0034305E">
            <w:pPr>
              <w:pStyle w:val="Compact"/>
              <w:jc w:val="center"/>
            </w:pPr>
            <w:r>
              <w:t>1.6</w:t>
            </w:r>
          </w:p>
        </w:tc>
        <w:tc>
          <w:tcPr>
            <w:tcW w:w="0" w:type="auto"/>
          </w:tcPr>
          <w:p w14:paraId="350D0C9D" w14:textId="77777777" w:rsidR="0039502A" w:rsidRDefault="00992888" w:rsidP="0034305E">
            <w:pPr>
              <w:pStyle w:val="Compact"/>
              <w:jc w:val="center"/>
            </w:pPr>
            <w:r>
              <w:t>1.578128</w:t>
            </w:r>
          </w:p>
        </w:tc>
        <w:tc>
          <w:tcPr>
            <w:tcW w:w="0" w:type="auto"/>
          </w:tcPr>
          <w:p w14:paraId="50A9A5F2" w14:textId="77777777" w:rsidR="0039502A" w:rsidRDefault="00992888" w:rsidP="0034305E">
            <w:pPr>
              <w:pStyle w:val="Compact"/>
              <w:jc w:val="center"/>
            </w:pPr>
            <w:r>
              <w:t>0.000913</w:t>
            </w:r>
          </w:p>
        </w:tc>
        <w:tc>
          <w:tcPr>
            <w:tcW w:w="0" w:type="auto"/>
          </w:tcPr>
          <w:p w14:paraId="175016A0" w14:textId="77777777" w:rsidR="0039502A" w:rsidRDefault="00992888" w:rsidP="0034305E">
            <w:pPr>
              <w:pStyle w:val="Compact"/>
              <w:jc w:val="center"/>
            </w:pPr>
            <w:r>
              <w:t>18.66</w:t>
            </w:r>
          </w:p>
        </w:tc>
        <w:tc>
          <w:tcPr>
            <w:tcW w:w="0" w:type="auto"/>
          </w:tcPr>
          <w:p w14:paraId="7680A634" w14:textId="77777777" w:rsidR="0039502A" w:rsidRDefault="00992888" w:rsidP="0034305E">
            <w:pPr>
              <w:pStyle w:val="Compact"/>
              <w:jc w:val="center"/>
            </w:pPr>
            <w:r>
              <w:t>No burbujeo</w:t>
            </w:r>
          </w:p>
        </w:tc>
      </w:tr>
      <w:tr w:rsidR="00BD0BAE" w14:paraId="70565F02" w14:textId="77777777" w:rsidTr="00F8596E">
        <w:trPr>
          <w:trHeight w:val="274"/>
        </w:trPr>
        <w:tc>
          <w:tcPr>
            <w:tcW w:w="0" w:type="auto"/>
          </w:tcPr>
          <w:p w14:paraId="65A432CF" w14:textId="77777777" w:rsidR="0039502A" w:rsidRDefault="00992888" w:rsidP="0034305E">
            <w:pPr>
              <w:pStyle w:val="Compact"/>
              <w:jc w:val="center"/>
            </w:pPr>
            <w:r>
              <w:t>17</w:t>
            </w:r>
          </w:p>
        </w:tc>
        <w:tc>
          <w:tcPr>
            <w:tcW w:w="0" w:type="auto"/>
          </w:tcPr>
          <w:p w14:paraId="673E16C0" w14:textId="77777777" w:rsidR="0039502A" w:rsidRDefault="00992888" w:rsidP="0034305E">
            <w:pPr>
              <w:pStyle w:val="Compact"/>
              <w:jc w:val="center"/>
            </w:pPr>
            <w:r>
              <w:t>1.7</w:t>
            </w:r>
          </w:p>
        </w:tc>
        <w:tc>
          <w:tcPr>
            <w:tcW w:w="0" w:type="auto"/>
          </w:tcPr>
          <w:p w14:paraId="53FB9EA3" w14:textId="77777777" w:rsidR="0039502A" w:rsidRDefault="00992888" w:rsidP="0034305E">
            <w:pPr>
              <w:pStyle w:val="Compact"/>
              <w:jc w:val="center"/>
            </w:pPr>
            <w:r>
              <w:t>1.677894</w:t>
            </w:r>
          </w:p>
        </w:tc>
        <w:tc>
          <w:tcPr>
            <w:tcW w:w="0" w:type="auto"/>
          </w:tcPr>
          <w:p w14:paraId="7701B9B7" w14:textId="77777777" w:rsidR="0039502A" w:rsidRDefault="00992888" w:rsidP="0034305E">
            <w:pPr>
              <w:pStyle w:val="Compact"/>
              <w:jc w:val="center"/>
            </w:pPr>
            <w:r>
              <w:t>0.001563</w:t>
            </w:r>
          </w:p>
        </w:tc>
        <w:tc>
          <w:tcPr>
            <w:tcW w:w="0" w:type="auto"/>
          </w:tcPr>
          <w:p w14:paraId="183E8DE8" w14:textId="77777777" w:rsidR="0039502A" w:rsidRDefault="00992888" w:rsidP="0034305E">
            <w:pPr>
              <w:pStyle w:val="Compact"/>
              <w:jc w:val="center"/>
            </w:pPr>
            <w:r>
              <w:t>18.71</w:t>
            </w:r>
          </w:p>
        </w:tc>
        <w:tc>
          <w:tcPr>
            <w:tcW w:w="0" w:type="auto"/>
          </w:tcPr>
          <w:p w14:paraId="32D6AA77" w14:textId="77777777" w:rsidR="0039502A" w:rsidRDefault="00992888" w:rsidP="0034305E">
            <w:pPr>
              <w:pStyle w:val="Compact"/>
              <w:jc w:val="center"/>
            </w:pPr>
            <w:r>
              <w:t>No burbujeo</w:t>
            </w:r>
          </w:p>
        </w:tc>
      </w:tr>
    </w:tbl>
    <w:p w14:paraId="5D3A96C8" w14:textId="37D3A165" w:rsidR="00CB23C1" w:rsidRPr="0050093B" w:rsidRDefault="00CB23C1" w:rsidP="00CB23C1">
      <w:pPr>
        <w:pStyle w:val="Figura"/>
        <w:ind w:firstLine="0"/>
        <w:jc w:val="center"/>
        <w:rPr>
          <w:color w:val="auto"/>
        </w:rPr>
      </w:pPr>
      <w:r w:rsidRPr="0050093B">
        <w:rPr>
          <w:rStyle w:val="FiguraChar"/>
          <w:color w:val="auto"/>
        </w:rPr>
        <w:t xml:space="preserve">Cuadro 1.  </w:t>
      </w:r>
      <w:r>
        <w:rPr>
          <w:rStyle w:val="FiguraChar"/>
          <w:color w:val="auto"/>
        </w:rPr>
        <w:t>Ejemplo de los resultados experimentales obtenidos durante un experimento de</w:t>
      </w:r>
      <w:r w:rsidR="005F1D2F">
        <w:rPr>
          <w:rStyle w:val="FiguraChar"/>
          <w:color w:val="auto"/>
        </w:rPr>
        <w:t xml:space="preserve"> caracterización</w:t>
      </w:r>
      <w:r w:rsidRPr="0050093B">
        <w:rPr>
          <w:color w:val="auto"/>
        </w:rPr>
        <w:t>.</w:t>
      </w:r>
    </w:p>
    <w:p w14:paraId="306C69B1" w14:textId="77777777" w:rsidR="0034305E" w:rsidRDefault="0034305E">
      <w:pPr>
        <w:pStyle w:val="Textoindependiente"/>
      </w:pPr>
    </w:p>
    <w:p w14:paraId="0FFDCBD4" w14:textId="5D5BFBE7" w:rsidR="0039502A" w:rsidRDefault="00992888" w:rsidP="00A13497">
      <w:pPr>
        <w:pStyle w:val="Textoindependiente"/>
        <w:ind w:firstLine="720"/>
      </w:pPr>
      <w:r>
        <w:lastRenderedPageBreak/>
        <w:t>En la Figura 7 se muestra la comparación de dos curvas de polarización obtenidas en un mismo electrolizador. Cada curva consta de aproximadamente 60 puntos (voltaje y corriente). La gráfica en color azul corresponde al Experimento 1, realizado con electrolito y electrodos nuevos, mientras que la gráfica en color naranja corresponde al Experimento 2, en el cual se emplean el mismo electrolito y los mismos electrodos que en el Experimento 1.</w:t>
      </w:r>
    </w:p>
    <w:p w14:paraId="16814030" w14:textId="09EDE5B1" w:rsidR="0039502A" w:rsidRDefault="00992888" w:rsidP="00A13497">
      <w:pPr>
        <w:pStyle w:val="Textoindependiente"/>
        <w:ind w:firstLine="720"/>
      </w:pPr>
      <w:r>
        <w:t xml:space="preserve">Como se aprecia en la Figura </w:t>
      </w:r>
      <w:r w:rsidR="00CB23C1">
        <w:t>8</w:t>
      </w:r>
      <w:r>
        <w:t xml:space="preserve">, el flujo de corriente en el Experimento 2 es menor que en el Experimento 1. Esto se debe al desgaste presente tanto en los electrodos como en el electrolito como consecuencia de la reacción electroquímica. Aunque en los primeros valores de voltaje el comportamiento de la corriente es similar en ambos experimentos, </w:t>
      </w:r>
      <w:r w:rsidR="00CB23C1">
        <w:t>a</w:t>
      </w:r>
      <w:r>
        <w:t xml:space="preserve"> </w:t>
      </w:r>
      <w:r w:rsidR="00CB23C1">
        <w:t>medida</w:t>
      </w:r>
      <w:r>
        <w:t xml:space="preserve"> </w:t>
      </w:r>
      <w:r w:rsidR="00CB23C1">
        <w:t>qu</w:t>
      </w:r>
      <w:r>
        <w:t>e aumenta</w:t>
      </w:r>
      <w:r w:rsidR="00CB23C1">
        <w:t xml:space="preserve"> el voltaje</w:t>
      </w:r>
      <w:r>
        <w:t xml:space="preserve">, la corriente del Experimento 2 disminuye, </w:t>
      </w:r>
      <w:r w:rsidR="00CB23C1">
        <w:t>lo que refleja</w:t>
      </w:r>
      <w:r>
        <w:t xml:space="preserve"> el impacto del deterioro acumulado.</w:t>
      </w:r>
    </w:p>
    <w:p w14:paraId="77881F71" w14:textId="77777777" w:rsidR="0039502A" w:rsidRDefault="00992888">
      <w:pPr>
        <w:pStyle w:val="CaptionedFigure"/>
      </w:pPr>
      <w:bookmarkStart w:id="13" w:name="fig:v_vs_c"/>
      <w:r>
        <w:drawing>
          <wp:inline distT="0" distB="0" distL="0" distR="0" wp14:anchorId="04A7B120" wp14:editId="4566275A">
            <wp:extent cx="3130266" cy="2313305"/>
            <wp:effectExtent l="0" t="0" r="0" b="0"/>
            <wp:docPr id="52" name="Picture" descr="Curvas de polarización de Experimeno 1 y Experimento 2, realizadas con 1 dia de diferencia."/>
            <wp:cNvGraphicFramePr/>
            <a:graphic xmlns:a="http://schemas.openxmlformats.org/drawingml/2006/main">
              <a:graphicData uri="http://schemas.openxmlformats.org/drawingml/2006/picture">
                <pic:pic xmlns:pic="http://schemas.openxmlformats.org/drawingml/2006/picture">
                  <pic:nvPicPr>
                    <pic:cNvPr id="53" name="Picture" descr="Voltage_Current.png"/>
                    <pic:cNvPicPr>
                      <a:picLocks noChangeAspect="1" noChangeArrowheads="1"/>
                    </pic:cNvPicPr>
                  </pic:nvPicPr>
                  <pic:blipFill rotWithShape="1">
                    <a:blip r:embed="rId12"/>
                    <a:srcRect l="12857" t="6544" r="17602"/>
                    <a:stretch/>
                  </pic:blipFill>
                  <pic:spPr bwMode="auto">
                    <a:xfrm>
                      <a:off x="0" y="0"/>
                      <a:ext cx="3153994" cy="2330840"/>
                    </a:xfrm>
                    <a:prstGeom prst="rect">
                      <a:avLst/>
                    </a:prstGeom>
                    <a:noFill/>
                    <a:ln>
                      <a:noFill/>
                    </a:ln>
                    <a:extLst>
                      <a:ext uri="{53640926-AAD7-44D8-BBD7-CCE9431645EC}">
                        <a14:shadowObscured xmlns:a14="http://schemas.microsoft.com/office/drawing/2010/main"/>
                      </a:ext>
                    </a:extLst>
                  </pic:spPr>
                </pic:pic>
              </a:graphicData>
            </a:graphic>
          </wp:inline>
        </w:drawing>
      </w:r>
    </w:p>
    <w:p w14:paraId="3C2B201F" w14:textId="3FFCA640" w:rsidR="0039502A" w:rsidRDefault="00992888">
      <w:pPr>
        <w:pStyle w:val="ImageCaption"/>
      </w:pPr>
      <w:r>
        <w:t>Figur</w:t>
      </w:r>
      <w:r w:rsidR="00CB23C1">
        <w:t>a</w:t>
      </w:r>
      <w:r>
        <w:t xml:space="preserve"> </w:t>
      </w:r>
      <w:r w:rsidR="00CB23C1">
        <w:t>7.</w:t>
      </w:r>
      <w:r>
        <w:t xml:space="preserve"> Curvas de polarización de Experimen</w:t>
      </w:r>
      <w:r w:rsidR="00CB23C1">
        <w:t>t</w:t>
      </w:r>
      <w:r>
        <w:t>o 1 y Experimento 2, realizadas con 1 d</w:t>
      </w:r>
      <w:r w:rsidR="00CB23C1">
        <w:t>í</w:t>
      </w:r>
      <w:r>
        <w:t>a de diferencia.</w:t>
      </w:r>
    </w:p>
    <w:bookmarkEnd w:id="13"/>
    <w:p w14:paraId="5D7C18A8" w14:textId="356A8F50" w:rsidR="0039502A" w:rsidRDefault="00992888" w:rsidP="00015146">
      <w:pPr>
        <w:pStyle w:val="Textoindependiente"/>
        <w:ind w:firstLine="720"/>
      </w:pPr>
      <w:r>
        <w:t xml:space="preserve">En la Figura 8 se observa el cambio de </w:t>
      </w:r>
      <w:r w:rsidR="00015146">
        <w:t xml:space="preserve">la </w:t>
      </w:r>
      <w:r>
        <w:t xml:space="preserve">temperatura </w:t>
      </w:r>
      <w:r w:rsidR="00015146">
        <w:t>de</w:t>
      </w:r>
      <w:r>
        <w:t>l</w:t>
      </w:r>
      <w:r w:rsidR="00015146">
        <w:t xml:space="preserve"> electrolizador</w:t>
      </w:r>
      <w:r>
        <w:t xml:space="preserve"> </w:t>
      </w:r>
      <w:r w:rsidR="00015146">
        <w:t>(</w:t>
      </w:r>
      <w:r>
        <w:t>planta</w:t>
      </w:r>
      <w:r w:rsidR="00015146">
        <w:t>)</w:t>
      </w:r>
      <w:r>
        <w:t xml:space="preserve"> en función del voltaje aplicado a los electrodos. Al inicio, la temperatura en ambos experimentos presenta una tasa de crecimiento baja. Sin embargo, </w:t>
      </w:r>
      <w:r w:rsidR="00015146">
        <w:t>a</w:t>
      </w:r>
      <w:r>
        <w:t xml:space="preserve"> </w:t>
      </w:r>
      <w:r w:rsidR="00015146">
        <w:t>medida</w:t>
      </w:r>
      <w:r>
        <w:t xml:space="preserve"> </w:t>
      </w:r>
      <w:r w:rsidR="00015146">
        <w:t>qu</w:t>
      </w:r>
      <w:r>
        <w:t>e aumenta</w:t>
      </w:r>
      <w:r w:rsidR="00015146">
        <w:t xml:space="preserve"> el voltaje</w:t>
      </w:r>
      <w:r>
        <w:t xml:space="preserve">, la tasa de </w:t>
      </w:r>
      <w:r w:rsidR="00015146">
        <w:t>au</w:t>
      </w:r>
      <w:r>
        <w:t xml:space="preserve">mento de </w:t>
      </w:r>
      <w:r w:rsidR="00015146">
        <w:t xml:space="preserve">la </w:t>
      </w:r>
      <w:r>
        <w:t>temperatura en el Experimento 2 es mayor. Esto ocurre porque una mayor proporción de la energía suministrada se disipa en forma de calor, ya que la conductividad del medio es menor debido al desgaste acumulado tanto en los electrodos como en el electrolito.</w:t>
      </w:r>
    </w:p>
    <w:p w14:paraId="7CCAC53C" w14:textId="77777777" w:rsidR="0039502A" w:rsidRDefault="00992888">
      <w:pPr>
        <w:pStyle w:val="CaptionedFigure"/>
      </w:pPr>
      <w:bookmarkStart w:id="14" w:name="fig:Temp"/>
      <w:r>
        <w:drawing>
          <wp:inline distT="0" distB="0" distL="0" distR="0" wp14:anchorId="1065B30C" wp14:editId="26EA0AD9">
            <wp:extent cx="3128400" cy="2318337"/>
            <wp:effectExtent l="0" t="0" r="0" b="6350"/>
            <wp:docPr id="56" name="Picture" descr="Curvas de Voltaje contra Temperatura en la planta."/>
            <wp:cNvGraphicFramePr/>
            <a:graphic xmlns:a="http://schemas.openxmlformats.org/drawingml/2006/main">
              <a:graphicData uri="http://schemas.openxmlformats.org/drawingml/2006/picture">
                <pic:pic xmlns:pic="http://schemas.openxmlformats.org/drawingml/2006/picture">
                  <pic:nvPicPr>
                    <pic:cNvPr id="57" name="Picture" descr="Voltage_Temp.png"/>
                    <pic:cNvPicPr>
                      <a:picLocks noChangeAspect="1" noChangeArrowheads="1"/>
                    </pic:cNvPicPr>
                  </pic:nvPicPr>
                  <pic:blipFill rotWithShape="1">
                    <a:blip r:embed="rId13"/>
                    <a:srcRect l="10801" t="6314" r="14476"/>
                    <a:stretch/>
                  </pic:blipFill>
                  <pic:spPr bwMode="auto">
                    <a:xfrm>
                      <a:off x="0" y="0"/>
                      <a:ext cx="3128400" cy="2318337"/>
                    </a:xfrm>
                    <a:prstGeom prst="rect">
                      <a:avLst/>
                    </a:prstGeom>
                    <a:noFill/>
                    <a:ln>
                      <a:noFill/>
                    </a:ln>
                    <a:extLst>
                      <a:ext uri="{53640926-AAD7-44D8-BBD7-CCE9431645EC}">
                        <a14:shadowObscured xmlns:a14="http://schemas.microsoft.com/office/drawing/2010/main"/>
                      </a:ext>
                    </a:extLst>
                  </pic:spPr>
                </pic:pic>
              </a:graphicData>
            </a:graphic>
          </wp:inline>
        </w:drawing>
      </w:r>
    </w:p>
    <w:p w14:paraId="09FD97B2" w14:textId="585EA5A7" w:rsidR="0039502A" w:rsidRDefault="00992888">
      <w:pPr>
        <w:pStyle w:val="ImageCaption"/>
      </w:pPr>
      <w:r>
        <w:t>Figur</w:t>
      </w:r>
      <w:r w:rsidR="00015146">
        <w:t>a 8.</w:t>
      </w:r>
      <w:r>
        <w:t xml:space="preserve"> Curvas de </w:t>
      </w:r>
      <w:r w:rsidR="00015146">
        <w:t>v</w:t>
      </w:r>
      <w:r>
        <w:t xml:space="preserve">oltaje contra </w:t>
      </w:r>
      <w:r w:rsidR="00015146">
        <w:t>t</w:t>
      </w:r>
      <w:r>
        <w:t xml:space="preserve">emperatura en </w:t>
      </w:r>
      <w:r w:rsidR="00015146">
        <w:t>el</w:t>
      </w:r>
      <w:r>
        <w:t xml:space="preserve"> </w:t>
      </w:r>
      <w:r w:rsidR="00015146">
        <w:t>electrolizador</w:t>
      </w:r>
      <w:r>
        <w:t>.</w:t>
      </w:r>
    </w:p>
    <w:p w14:paraId="7EF9AEDC" w14:textId="77777777" w:rsidR="00015146" w:rsidRDefault="00015146">
      <w:pPr>
        <w:pStyle w:val="ImageCaption"/>
      </w:pPr>
    </w:p>
    <w:p w14:paraId="60B135BE" w14:textId="77777777" w:rsidR="0039502A" w:rsidRDefault="00992888">
      <w:pPr>
        <w:pStyle w:val="Ttulo1"/>
      </w:pPr>
      <w:bookmarkStart w:id="15" w:name="conclusiones"/>
      <w:bookmarkEnd w:id="12"/>
      <w:bookmarkEnd w:id="14"/>
      <w:r>
        <w:lastRenderedPageBreak/>
        <w:t>Conclusiones</w:t>
      </w:r>
    </w:p>
    <w:p w14:paraId="0967AF11" w14:textId="6571548E" w:rsidR="0039502A" w:rsidRDefault="00992888">
      <w:pPr>
        <w:pStyle w:val="FirstParagraph"/>
      </w:pPr>
      <w:r>
        <w:t xml:space="preserve">Gracias a los valores registrados mediante el sistema de adquisición de datos propuesto, es posible </w:t>
      </w:r>
      <w:r w:rsidR="00015146">
        <w:t>observ</w:t>
      </w:r>
      <w:r>
        <w:t>ar con mayor claridad el comportamiento de los principales parámetros que intervienen en el proceso de electrólisis, lo que permite realizar análisis gráficos con m</w:t>
      </w:r>
      <w:r w:rsidR="00015146">
        <w:t>ay</w:t>
      </w:r>
      <w:r>
        <w:t xml:space="preserve">or resolución. La conexión de los instrumentos </w:t>
      </w:r>
      <w:r w:rsidR="00015146">
        <w:t>mediant</w:t>
      </w:r>
      <w:r>
        <w:t>e una interfaz gráfica proporciona un mayor control tanto en la adquisición de datos como en la modificación de parámetros, asegurando una operación adecuada durante toda la experimentación.</w:t>
      </w:r>
    </w:p>
    <w:p w14:paraId="69B3C802" w14:textId="3683B16F" w:rsidR="0039502A" w:rsidRDefault="00992888" w:rsidP="00015146">
      <w:pPr>
        <w:pStyle w:val="Textoindependiente"/>
        <w:ind w:firstLine="720"/>
      </w:pPr>
      <w:r>
        <w:t xml:space="preserve">El sistema de caracterización de celdas electroquímicas basado en el protocolo VISA permite un análisis detallado y novedoso de las curvas de polarización </w:t>
      </w:r>
      <m:oMath>
        <m:r>
          <w:rPr>
            <w:rFonts w:ascii="Cambria Math" w:hAnsi="Cambria Math"/>
          </w:rPr>
          <m:t>I</m:t>
        </m:r>
      </m:oMath>
      <w:r>
        <w:t>–</w:t>
      </w:r>
      <m:oMath>
        <m:r>
          <w:rPr>
            <w:rFonts w:ascii="Cambria Math" w:hAnsi="Cambria Math"/>
          </w:rPr>
          <m:t>V</m:t>
        </m:r>
      </m:oMath>
      <w:r>
        <w:t xml:space="preserve">. Este sistema se sustenta en una aplicación desarrollada en Python y </w:t>
      </w:r>
      <w:r w:rsidRPr="00015146">
        <w:rPr>
          <w:rStyle w:val="VerbatimChar"/>
          <w:rFonts w:ascii="Times New Roman" w:hAnsi="Times New Roman"/>
          <w:i/>
          <w:iCs/>
          <w:sz w:val="21"/>
          <w:szCs w:val="20"/>
        </w:rPr>
        <w:t>Tkinter</w:t>
      </w:r>
      <w:r>
        <w:t xml:space="preserve">, cuya interfaz resulta amigable para el usuario y facilita el registro de observaciones durante el proceso de caracterización. Además, la aplicación está diseñada para favorecer la reproducibilidad, ya que permite aplicar valores previamente definidos y mantener condiciones constantes entre experimentos. La alta resolución del </w:t>
      </w:r>
      <w:r w:rsidR="00015146">
        <w:t>amperímetro Tektronix DMM 4040 de 100 pA, la del voltímetro Picotest M3500 de 100 mV y la precisión de inyección de voltaje en la fuente Agilent N5770A de 0.1 V</w:t>
      </w:r>
      <w:r>
        <w:t xml:space="preserve"> contribuyen a obtener curvas con un alto nivel de detalle.</w:t>
      </w:r>
    </w:p>
    <w:p w14:paraId="310CF4B5" w14:textId="3D4717C3" w:rsidR="0039502A" w:rsidRDefault="00992888" w:rsidP="00015146">
      <w:pPr>
        <w:pStyle w:val="Textoindependiente"/>
        <w:ind w:firstLine="720"/>
      </w:pPr>
      <w:r>
        <w:t>Este esquema puede emplearse para monitorear y caracterizar puntos de operación bajo di</w:t>
      </w:r>
      <w:r w:rsidR="00015146">
        <w:t>stinta</w:t>
      </w:r>
      <w:r>
        <w:t xml:space="preserve">s condiciones, e incluso para identificar fallas a partir del comportamiento de los parámetros eléctricos. En una visión más amplia, el enfoque de esta investigación busca estudiar la evolución de las curvas y </w:t>
      </w:r>
      <w:r w:rsidR="00015146">
        <w:t xml:space="preserve">los </w:t>
      </w:r>
      <w:r>
        <w:t>puntos de operación tras periodos prolongados de trabajo, con el objetivo de analizar las modificaciones en el comportamiento eléctrico del sistema y relacionarlas con procesos de desgaste y degradación.</w:t>
      </w:r>
    </w:p>
    <w:p w14:paraId="23B5F2C2" w14:textId="77777777" w:rsidR="00DE15A2" w:rsidRDefault="00DE15A2">
      <w:pPr>
        <w:pStyle w:val="Textoindependiente"/>
      </w:pPr>
    </w:p>
    <w:p w14:paraId="71F7BABF" w14:textId="6E9741B4" w:rsidR="00D47FA5" w:rsidRDefault="00DE15A2" w:rsidP="00DE15A2">
      <w:pPr>
        <w:pStyle w:val="Ttulo1"/>
      </w:pPr>
      <w:r>
        <w:t>Referencias</w:t>
      </w:r>
    </w:p>
    <w:p w14:paraId="59148085" w14:textId="77777777" w:rsidR="0039502A" w:rsidRDefault="00992888">
      <w:pPr>
        <w:pStyle w:val="Bibliografa"/>
      </w:pPr>
      <w:bookmarkStart w:id="16" w:name="ref-correa2022"/>
      <w:bookmarkStart w:id="17" w:name="refs"/>
      <w:r w:rsidRPr="00F8596E">
        <w:rPr>
          <w:lang w:val="es-MX"/>
        </w:rPr>
        <w:t xml:space="preserve">Correa, G., Marocco, P., Muñoz, P., Falagüerra, T., Ferrero, D., &amp; Santarelli, M. (2022). </w:t>
      </w:r>
      <w:r>
        <w:t xml:space="preserve">Pressurized PEM water electrolysis: Dynamic modelling focusing on the cathode side. </w:t>
      </w:r>
      <w:r>
        <w:rPr>
          <w:i/>
          <w:iCs/>
        </w:rPr>
        <w:t>International Journal of Hydrogen Energy</w:t>
      </w:r>
      <w:r>
        <w:t xml:space="preserve">, </w:t>
      </w:r>
      <w:r>
        <w:rPr>
          <w:i/>
          <w:iCs/>
        </w:rPr>
        <w:t>47</w:t>
      </w:r>
      <w:r>
        <w:t xml:space="preserve">(7), 4315–4327. </w:t>
      </w:r>
      <w:hyperlink r:id="rId14">
        <w:r>
          <w:rPr>
            <w:rStyle w:val="Hipervnculo"/>
          </w:rPr>
          <w:t>https://doi.org/10.1016/j.ijhydene.2021.11.110</w:t>
        </w:r>
      </w:hyperlink>
    </w:p>
    <w:p w14:paraId="02935413" w14:textId="77777777" w:rsidR="0039502A" w:rsidRDefault="00992888">
      <w:pPr>
        <w:pStyle w:val="Bibliografa"/>
      </w:pPr>
      <w:bookmarkStart w:id="18" w:name="ref-guilbert2020"/>
      <w:bookmarkEnd w:id="16"/>
      <w:r w:rsidRPr="00F8596E">
        <w:rPr>
          <w:lang w:val="es-MX"/>
        </w:rPr>
        <w:t xml:space="preserve">Hernández-Gómez, Á., Ramirez, V., Guilbert, D., &amp; Saldivar, B. (2020). </w:t>
      </w:r>
      <w:r>
        <w:t xml:space="preserve">Development of an adaptive static-dynamic electrical model based on input electrical energy for PEM water electrolysis. </w:t>
      </w:r>
      <w:r>
        <w:rPr>
          <w:i/>
          <w:iCs/>
        </w:rPr>
        <w:t>International Journal of Hydrogen Energy</w:t>
      </w:r>
      <w:r>
        <w:t xml:space="preserve">, </w:t>
      </w:r>
      <w:r>
        <w:rPr>
          <w:i/>
          <w:iCs/>
        </w:rPr>
        <w:t>45</w:t>
      </w:r>
      <w:r>
        <w:t xml:space="preserve">(38), 18817–18830. </w:t>
      </w:r>
      <w:hyperlink r:id="rId15">
        <w:r>
          <w:rPr>
            <w:rStyle w:val="Hipervnculo"/>
          </w:rPr>
          <w:t>https://doi.org/10.1016/j.ijhydene.2020.04.147</w:t>
        </w:r>
      </w:hyperlink>
    </w:p>
    <w:p w14:paraId="690D03A3" w14:textId="77777777" w:rsidR="0039502A" w:rsidRDefault="00992888">
      <w:pPr>
        <w:pStyle w:val="Bibliografa"/>
      </w:pPr>
      <w:bookmarkStart w:id="19" w:name="ref-holladay2009"/>
      <w:bookmarkEnd w:id="18"/>
      <w:r>
        <w:t xml:space="preserve">Holladay, J. D., Hu, J., King, D. L., &amp; Wang, Y. (2009). A review of hydrogen production through water electrolysis. </w:t>
      </w:r>
      <w:r>
        <w:rPr>
          <w:i/>
          <w:iCs/>
        </w:rPr>
        <w:t>Energy &amp; Environmental Science</w:t>
      </w:r>
      <w:r>
        <w:t xml:space="preserve">, </w:t>
      </w:r>
      <w:r>
        <w:rPr>
          <w:i/>
          <w:iCs/>
        </w:rPr>
        <w:t>2</w:t>
      </w:r>
      <w:r>
        <w:t>(1), 1–17.</w:t>
      </w:r>
    </w:p>
    <w:p w14:paraId="58CACB9F" w14:textId="3BC07D58" w:rsidR="0039502A" w:rsidRDefault="00992888">
      <w:pPr>
        <w:pStyle w:val="Bibliografa"/>
      </w:pPr>
      <w:bookmarkStart w:id="20" w:name="ref-hossain2022b"/>
      <w:bookmarkEnd w:id="19"/>
      <w:r>
        <w:t xml:space="preserve">Hossain, M. B., Islam, M. R., Muttaqi, K. M., Sutanto, D., &amp; Agalgaonkar, A. P. (2022). Dynamic electrical equivalent circuit modeling of the grid-scale proton exchange membrane electrolyzer for ancillary services. </w:t>
      </w:r>
      <w:r>
        <w:rPr>
          <w:i/>
          <w:iCs/>
        </w:rPr>
        <w:t>IEEE Transactions on Industry Applications</w:t>
      </w:r>
      <w:r>
        <w:t xml:space="preserve">, 1–7. </w:t>
      </w:r>
      <w:hyperlink r:id="rId16">
        <w:r>
          <w:rPr>
            <w:rStyle w:val="Hipervnculo"/>
          </w:rPr>
          <w:t>https://doi.org/10.1109/IAS.2022.9940811</w:t>
        </w:r>
      </w:hyperlink>
    </w:p>
    <w:p w14:paraId="76F28B51" w14:textId="77777777" w:rsidR="0039502A" w:rsidRDefault="00992888">
      <w:pPr>
        <w:pStyle w:val="Bibliografa"/>
      </w:pPr>
      <w:bookmarkStart w:id="21" w:name="ref-jaramillo2023"/>
      <w:bookmarkEnd w:id="20"/>
      <w:r>
        <w:t xml:space="preserve">Jaramillo-Rodríguez, K. et al. (2023). Adaptation and application of a polarisation curve test protocol for a commercial PEM electrolyser on cell and stack level. </w:t>
      </w:r>
      <w:r>
        <w:rPr>
          <w:i/>
          <w:iCs/>
        </w:rPr>
        <w:t>Archives of Metallurgy and Materials</w:t>
      </w:r>
      <w:r>
        <w:t>.</w:t>
      </w:r>
    </w:p>
    <w:p w14:paraId="51D7AC98" w14:textId="77777777" w:rsidR="0039502A" w:rsidRDefault="00992888">
      <w:pPr>
        <w:pStyle w:val="Bibliografa"/>
      </w:pPr>
      <w:bookmarkStart w:id="22" w:name="ref-armoosh2022"/>
      <w:bookmarkEnd w:id="21"/>
      <w:r>
        <w:t xml:space="preserve">Järvinen, A., Armoosh, A., et al. (2022). Automized parametrization of PEM and alkaline water electrolyzer polarisation curves. </w:t>
      </w:r>
      <w:r>
        <w:rPr>
          <w:i/>
          <w:iCs/>
        </w:rPr>
        <w:t>International Journal of Hydrogen Energy</w:t>
      </w:r>
      <w:r>
        <w:t>.</w:t>
      </w:r>
    </w:p>
    <w:p w14:paraId="5A051AF5" w14:textId="77777777" w:rsidR="0039502A" w:rsidRDefault="00992888">
      <w:pPr>
        <w:pStyle w:val="Bibliografa"/>
      </w:pPr>
      <w:bookmarkStart w:id="23" w:name="ref-jarvinen2022"/>
      <w:bookmarkEnd w:id="22"/>
      <w:r>
        <w:t xml:space="preserve">Järvinen, L., Puranen, P., Kosonen, A., Ruuskanen, V., Ahola, J., Kauranen, P., &amp; Hehemann, M. (2022). Automized parametrization of PEM and alkaline water electrolyzer polarisation curves. </w:t>
      </w:r>
      <w:r>
        <w:rPr>
          <w:i/>
          <w:iCs/>
        </w:rPr>
        <w:t>International Journal of Hydrogen Energy</w:t>
      </w:r>
      <w:r>
        <w:t xml:space="preserve">, </w:t>
      </w:r>
      <w:r>
        <w:rPr>
          <w:i/>
          <w:iCs/>
        </w:rPr>
        <w:t>47</w:t>
      </w:r>
      <w:r>
        <w:t xml:space="preserve">(75), 31985–32003. </w:t>
      </w:r>
      <w:hyperlink r:id="rId17">
        <w:r>
          <w:rPr>
            <w:rStyle w:val="Hipervnculo"/>
          </w:rPr>
          <w:t>https://doi.org/10.1016/j.ijhydene.2022.07.085</w:t>
        </w:r>
      </w:hyperlink>
    </w:p>
    <w:p w14:paraId="10E81DBF" w14:textId="77777777" w:rsidR="0039502A" w:rsidRDefault="00992888">
      <w:pPr>
        <w:pStyle w:val="Bibliografa"/>
      </w:pPr>
      <w:bookmarkStart w:id="24" w:name="ref-malkow2018"/>
      <w:bookmarkEnd w:id="23"/>
      <w:r>
        <w:t xml:space="preserve">Malkow, T. et al. (2018). EU harmonised polarisation curve test method for low-temperature water electrolysis. </w:t>
      </w:r>
      <w:r>
        <w:rPr>
          <w:i/>
          <w:iCs/>
        </w:rPr>
        <w:t>Publications Office of the European Union</w:t>
      </w:r>
      <w:r>
        <w:t>.</w:t>
      </w:r>
    </w:p>
    <w:p w14:paraId="33C9DBB7" w14:textId="77777777" w:rsidR="0039502A" w:rsidRDefault="00992888">
      <w:pPr>
        <w:pStyle w:val="Bibliografa"/>
      </w:pPr>
      <w:bookmarkStart w:id="25" w:name="ref-azam2023"/>
      <w:bookmarkEnd w:id="24"/>
      <w:r>
        <w:t xml:space="preserve">Noor Azam, A. M. I., Li, N. K., Zulkefli, N. N., Masdar, M. S., Majlan, E. H., Baharuddin, N. A., … Shaffee, S. N. A. (2023). Parametric Study and Electrocatalyst of Polymer Electrolyte Membrane (PEM) Electrolysis Performance. </w:t>
      </w:r>
      <w:r>
        <w:rPr>
          <w:i/>
          <w:iCs/>
        </w:rPr>
        <w:t>Polymers</w:t>
      </w:r>
      <w:r>
        <w:t xml:space="preserve">, </w:t>
      </w:r>
      <w:r>
        <w:rPr>
          <w:i/>
          <w:iCs/>
        </w:rPr>
        <w:t>15</w:t>
      </w:r>
      <w:r>
        <w:t xml:space="preserve">(3), 560. </w:t>
      </w:r>
      <w:hyperlink r:id="rId18">
        <w:r>
          <w:rPr>
            <w:rStyle w:val="Hipervnculo"/>
          </w:rPr>
          <w:t>https://doi.org/10.3390/polym15030560</w:t>
        </w:r>
      </w:hyperlink>
    </w:p>
    <w:p w14:paraId="04FA829E" w14:textId="77777777" w:rsidR="0039502A" w:rsidRDefault="00992888">
      <w:pPr>
        <w:pStyle w:val="Bibliografa"/>
      </w:pPr>
      <w:bookmarkStart w:id="26" w:name="ref-xu2012"/>
      <w:bookmarkEnd w:id="25"/>
      <w:r>
        <w:t xml:space="preserve">Xu, F., Ulleberg, Ø., &amp; Tseng, K. (2012). Performance investigation of a PEM electrolyzer under various operating conditions. </w:t>
      </w:r>
      <w:r>
        <w:rPr>
          <w:i/>
          <w:iCs/>
        </w:rPr>
        <w:t>International Journal of Hydrogen Energy</w:t>
      </w:r>
      <w:r>
        <w:t xml:space="preserve">, </w:t>
      </w:r>
      <w:r>
        <w:rPr>
          <w:i/>
          <w:iCs/>
        </w:rPr>
        <w:t>37</w:t>
      </w:r>
      <w:r>
        <w:t>(21), 15074–15081.</w:t>
      </w:r>
    </w:p>
    <w:p w14:paraId="19718E84" w14:textId="77777777" w:rsidR="0039502A" w:rsidRDefault="00992888">
      <w:pPr>
        <w:pStyle w:val="Bibliografa"/>
      </w:pPr>
      <w:bookmarkStart w:id="27" w:name="ref-yu2021"/>
      <w:bookmarkEnd w:id="26"/>
      <w:r>
        <w:t xml:space="preserve">Yu, H. (2021). Research progress and development proposal of hydrogen production technology from electrolyzed water. </w:t>
      </w:r>
      <w:r>
        <w:rPr>
          <w:i/>
          <w:iCs/>
        </w:rPr>
        <w:t>Chinese Engineering Science</w:t>
      </w:r>
      <w:r>
        <w:t xml:space="preserve">, </w:t>
      </w:r>
      <w:r>
        <w:rPr>
          <w:i/>
          <w:iCs/>
        </w:rPr>
        <w:t>23</w:t>
      </w:r>
      <w:r>
        <w:t xml:space="preserve">(2), 146–152. </w:t>
      </w:r>
      <w:hyperlink r:id="rId19">
        <w:r>
          <w:rPr>
            <w:rStyle w:val="Hipervnculo"/>
          </w:rPr>
          <w:t>https://doi.org/10.1016/j.engsci.2021.02.005</w:t>
        </w:r>
      </w:hyperlink>
    </w:p>
    <w:p w14:paraId="34750A63" w14:textId="77777777" w:rsidR="0039502A" w:rsidRDefault="00992888">
      <w:pPr>
        <w:pStyle w:val="Bibliografa"/>
      </w:pPr>
      <w:bookmarkStart w:id="28" w:name="ref-zouhri2016"/>
      <w:bookmarkEnd w:id="27"/>
      <w:r>
        <w:t xml:space="preserve">Zouhri, K., &amp; Lee, S. (2016). Evaluation and optimization of the alkaline water electrolysis ohmic polarization: Exergy study. </w:t>
      </w:r>
      <w:r>
        <w:rPr>
          <w:i/>
          <w:iCs/>
        </w:rPr>
        <w:t>International Journal of Hydrogen Energy</w:t>
      </w:r>
      <w:r>
        <w:t xml:space="preserve">, </w:t>
      </w:r>
      <w:r>
        <w:rPr>
          <w:i/>
          <w:iCs/>
        </w:rPr>
        <w:t>41</w:t>
      </w:r>
      <w:r>
        <w:t xml:space="preserve">(18), 7253–7263. </w:t>
      </w:r>
      <w:hyperlink r:id="rId20">
        <w:r>
          <w:rPr>
            <w:rStyle w:val="Hipervnculo"/>
          </w:rPr>
          <w:t>https://doi.org/10.1016/j.ijhydene.2016.03.119</w:t>
        </w:r>
      </w:hyperlink>
      <w:bookmarkEnd w:id="15"/>
      <w:bookmarkEnd w:id="17"/>
      <w:bookmarkEnd w:id="28"/>
    </w:p>
    <w:sectPr w:rsidR="0039502A">
      <w:footnotePr>
        <w:numRestart w:val="eachSect"/>
      </w:footnotePr>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E39B7" w14:textId="77777777" w:rsidR="00B125A7" w:rsidRDefault="00B125A7" w:rsidP="00300B20">
      <w:pPr>
        <w:spacing w:after="0"/>
      </w:pPr>
      <w:r>
        <w:separator/>
      </w:r>
    </w:p>
  </w:endnote>
  <w:endnote w:type="continuationSeparator" w:id="0">
    <w:p w14:paraId="108170CD" w14:textId="77777777" w:rsidR="00B125A7" w:rsidRDefault="00B125A7" w:rsidP="00300B2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32155" w14:textId="77777777" w:rsidR="00B125A7" w:rsidRDefault="00B125A7" w:rsidP="00300B20">
      <w:pPr>
        <w:spacing w:after="0"/>
      </w:pPr>
      <w:r>
        <w:separator/>
      </w:r>
    </w:p>
  </w:footnote>
  <w:footnote w:type="continuationSeparator" w:id="0">
    <w:p w14:paraId="55577894" w14:textId="77777777" w:rsidR="00B125A7" w:rsidRDefault="00B125A7" w:rsidP="00300B20">
      <w:pPr>
        <w:spacing w:after="0"/>
      </w:pPr>
      <w:r>
        <w:continuationSeparator/>
      </w:r>
    </w:p>
  </w:footnote>
  <w:footnote w:id="1">
    <w:p w14:paraId="5A51C44F" w14:textId="6A84EF1E" w:rsidR="00300B20" w:rsidRPr="00300B20" w:rsidRDefault="00300B20" w:rsidP="00A07F07">
      <w:pPr>
        <w:pStyle w:val="Textonotapie"/>
        <w:rPr>
          <w:lang w:val="es-MX"/>
        </w:rPr>
      </w:pPr>
      <w:r>
        <w:rPr>
          <w:rStyle w:val="Refdenotaalpie"/>
        </w:rPr>
        <w:footnoteRef/>
      </w:r>
      <w:r w:rsidRPr="00300B20">
        <w:rPr>
          <w:lang w:val="es-MX"/>
        </w:rPr>
        <w:t xml:space="preserve"> </w:t>
      </w:r>
      <w:r w:rsidRPr="00040B2C">
        <w:rPr>
          <w:sz w:val="15"/>
          <w:szCs w:val="15"/>
          <w:lang w:val="es-MX"/>
        </w:rPr>
        <w:t>Es estudiante de la Maestría en Ciencias en Ingeniería Electrónica (MCIE) del TeCNM – Instituto Tecnológico de Morelia</w:t>
      </w:r>
      <w:r w:rsidR="00EF3DE6" w:rsidRPr="00040B2C">
        <w:rPr>
          <w:sz w:val="15"/>
          <w:szCs w:val="15"/>
          <w:lang w:val="es-MX"/>
        </w:rPr>
        <w:t xml:space="preserve"> (ITM)</w:t>
      </w:r>
      <w:r w:rsidRPr="00040B2C">
        <w:rPr>
          <w:sz w:val="15"/>
          <w:szCs w:val="15"/>
          <w:lang w:val="es-MX"/>
        </w:rPr>
        <w:t xml:space="preserve">, Michoacán, México. </w:t>
      </w:r>
    </w:p>
  </w:footnote>
  <w:footnote w:id="2">
    <w:p w14:paraId="64373BF2" w14:textId="09E1D134" w:rsidR="00A07F07" w:rsidRPr="00A07F07" w:rsidRDefault="00A07F07">
      <w:pPr>
        <w:pStyle w:val="Textonotapie"/>
        <w:rPr>
          <w:lang w:val="es-MX"/>
        </w:rPr>
      </w:pPr>
      <w:r>
        <w:rPr>
          <w:rStyle w:val="Refdenotaalpie"/>
        </w:rPr>
        <w:footnoteRef/>
      </w:r>
      <w:r w:rsidRPr="00A07F07">
        <w:rPr>
          <w:lang w:val="es-MX"/>
        </w:rPr>
        <w:t xml:space="preserve"> Es profesor investigador en la MCIE del TeCNM – ITM, Michoacán, México, </w:t>
      </w:r>
      <w:hyperlink r:id="rId1" w:history="1">
        <w:r w:rsidRPr="00A07F07">
          <w:rPr>
            <w:rStyle w:val="Hipervnculo"/>
            <w:color w:val="auto"/>
            <w:lang w:val="es-MX"/>
          </w:rPr>
          <w:t>gmarx_cc@itmorelia.edu.mx</w:t>
        </w:r>
      </w:hyperlink>
      <w:r w:rsidRPr="00A07F07">
        <w:rPr>
          <w:lang w:val="es-MX"/>
        </w:rPr>
        <w:t xml:space="preserve"> </w:t>
      </w:r>
      <w:r w:rsidRPr="00A07F07">
        <w:rPr>
          <w:b/>
          <w:bCs/>
          <w:lang w:val="es-MX"/>
        </w:rPr>
        <w:t>(autor corresponsal)</w:t>
      </w:r>
    </w:p>
  </w:footnote>
  <w:footnote w:id="3">
    <w:p w14:paraId="4C5CAF18" w14:textId="3723812C" w:rsidR="00A07F07" w:rsidRPr="00A07F07" w:rsidRDefault="00A07F07">
      <w:pPr>
        <w:pStyle w:val="Textonotapie"/>
        <w:rPr>
          <w:lang w:val="es-MX"/>
        </w:rPr>
      </w:pPr>
      <w:r>
        <w:rPr>
          <w:rStyle w:val="Refdenotaalpie"/>
        </w:rPr>
        <w:footnoteRef/>
      </w:r>
      <w:r w:rsidRPr="00A07F07">
        <w:rPr>
          <w:lang w:val="es-MX"/>
        </w:rPr>
        <w:t xml:space="preserve"> Es profesor investigador en la </w:t>
      </w:r>
      <w:r w:rsidR="00B373DF">
        <w:rPr>
          <w:lang w:val="es-MX"/>
        </w:rPr>
        <w:t>Maestría en Ciencias en Metalugía</w:t>
      </w:r>
      <w:r w:rsidRPr="00A07F07">
        <w:rPr>
          <w:lang w:val="es-MX"/>
        </w:rPr>
        <w:t xml:space="preserve"> del TeCNM – ITM, Michoacán, México</w:t>
      </w:r>
      <w:r>
        <w:rPr>
          <w:lang w:val="es-MX"/>
        </w:rPr>
        <w:t>.</w:t>
      </w:r>
    </w:p>
  </w:footnote>
  <w:footnote w:id="4">
    <w:p w14:paraId="327E7755" w14:textId="0C2B453C" w:rsidR="00B373DF" w:rsidRPr="00B373DF" w:rsidRDefault="00B373DF">
      <w:pPr>
        <w:pStyle w:val="Textonotapie"/>
        <w:rPr>
          <w:lang w:val="es-MX"/>
        </w:rPr>
      </w:pPr>
      <w:r>
        <w:rPr>
          <w:rStyle w:val="Refdenotaalpie"/>
        </w:rPr>
        <w:footnoteRef/>
      </w:r>
      <w:r w:rsidRPr="00B373DF">
        <w:rPr>
          <w:lang w:val="es-MX"/>
        </w:rPr>
        <w:t xml:space="preserve"> Es profesor investigador en el Doctorado en Ciencias en Ingenier</w:t>
      </w:r>
      <w:r>
        <w:rPr>
          <w:lang w:val="es-MX"/>
        </w:rPr>
        <w:t xml:space="preserve">ía </w:t>
      </w:r>
      <w:r w:rsidR="00A07F07" w:rsidRPr="00A07F07">
        <w:rPr>
          <w:lang w:val="es-MX"/>
        </w:rPr>
        <w:t>del TeCNM – ITM, Michoacán, México</w:t>
      </w:r>
      <w:r>
        <w:rPr>
          <w:lang w:val="es-MX"/>
        </w:rPr>
        <w:t>.</w:t>
      </w:r>
    </w:p>
  </w:footnote>
  <w:footnote w:id="5">
    <w:p w14:paraId="7D62475D" w14:textId="0327FC65" w:rsidR="00040B2C" w:rsidRPr="00040B2C" w:rsidRDefault="00040B2C">
      <w:pPr>
        <w:pStyle w:val="Textonotapie"/>
        <w:rPr>
          <w:lang w:val="es-MX"/>
        </w:rPr>
      </w:pPr>
      <w:r>
        <w:rPr>
          <w:rStyle w:val="Refdenotaalpie"/>
        </w:rPr>
        <w:footnoteRef/>
      </w:r>
      <w:r w:rsidRPr="00040B2C">
        <w:rPr>
          <w:lang w:val="es-MX"/>
        </w:rPr>
        <w:t xml:space="preserve"> Es profesor investigador en la c</w:t>
      </w:r>
      <w:r>
        <w:rPr>
          <w:lang w:val="es-MX"/>
        </w:rPr>
        <w:t xml:space="preserve">arrera de Ingeniería Electrónica </w:t>
      </w:r>
      <w:r w:rsidR="00A07F07" w:rsidRPr="00A07F07">
        <w:rPr>
          <w:lang w:val="es-MX"/>
        </w:rPr>
        <w:t>del TeCNM – ITM, Michoacán, México</w:t>
      </w:r>
      <w:r>
        <w:rPr>
          <w:lang w:val="es-MX"/>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BCB64B5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C34FAE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411"/>
    <w:multiLevelType w:val="multilevel"/>
    <w:tmpl w:val="D45C70A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367022973">
    <w:abstractNumId w:val="0"/>
  </w:num>
  <w:num w:numId="2" w16cid:durableId="1354385114">
    <w:abstractNumId w:val="0"/>
  </w:num>
  <w:num w:numId="3" w16cid:durableId="15701924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29396751">
    <w:abstractNumId w:val="1"/>
  </w:num>
  <w:num w:numId="5" w16cid:durableId="841973153">
    <w:abstractNumId w:val="1"/>
  </w:num>
  <w:num w:numId="6" w16cid:durableId="86021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DB2"/>
    <w:rsid w:val="00015146"/>
    <w:rsid w:val="00040B2C"/>
    <w:rsid w:val="00055DFE"/>
    <w:rsid w:val="00071730"/>
    <w:rsid w:val="00140920"/>
    <w:rsid w:val="00300B20"/>
    <w:rsid w:val="0034305E"/>
    <w:rsid w:val="0039502A"/>
    <w:rsid w:val="003F4A57"/>
    <w:rsid w:val="00456E81"/>
    <w:rsid w:val="00461EF2"/>
    <w:rsid w:val="005F1D2F"/>
    <w:rsid w:val="005F6DDD"/>
    <w:rsid w:val="007265A5"/>
    <w:rsid w:val="007D743D"/>
    <w:rsid w:val="00852165"/>
    <w:rsid w:val="0085266B"/>
    <w:rsid w:val="00892DAF"/>
    <w:rsid w:val="008D7AE6"/>
    <w:rsid w:val="008F4962"/>
    <w:rsid w:val="0093360E"/>
    <w:rsid w:val="00992888"/>
    <w:rsid w:val="00A07F07"/>
    <w:rsid w:val="00A13497"/>
    <w:rsid w:val="00A96177"/>
    <w:rsid w:val="00AA7C93"/>
    <w:rsid w:val="00AC5735"/>
    <w:rsid w:val="00B0596D"/>
    <w:rsid w:val="00B125A7"/>
    <w:rsid w:val="00B373DF"/>
    <w:rsid w:val="00BD0BAE"/>
    <w:rsid w:val="00C50BCD"/>
    <w:rsid w:val="00CB23C1"/>
    <w:rsid w:val="00D47FA5"/>
    <w:rsid w:val="00D57E78"/>
    <w:rsid w:val="00D84740"/>
    <w:rsid w:val="00DE15A2"/>
    <w:rsid w:val="00E43E82"/>
    <w:rsid w:val="00EF3DE6"/>
    <w:rsid w:val="00F13FDD"/>
    <w:rsid w:val="00F15418"/>
    <w:rsid w:val="00F2434B"/>
    <w:rsid w:val="00F8596E"/>
    <w:rsid w:val="00FA5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A3D18"/>
  <w15:docId w15:val="{778A55BC-C76C-4568-AFE7-EFE7267FF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Textoindependiente"/>
    <w:link w:val="Ttulo1Car"/>
    <w:uiPriority w:val="9"/>
    <w:qFormat/>
    <w:rsid w:val="003F4A57"/>
    <w:pPr>
      <w:keepNext/>
      <w:keepLines/>
      <w:spacing w:before="360" w:after="80"/>
      <w:jc w:val="center"/>
      <w:outlineLvl w:val="0"/>
    </w:pPr>
    <w:rPr>
      <w:rFonts w:ascii="Times New Roman" w:eastAsiaTheme="majorEastAsia" w:hAnsi="Times New Roman" w:cs="Times New Roman"/>
      <w:b/>
      <w:bCs/>
      <w:color w:val="000000" w:themeColor="text1"/>
      <w:sz w:val="20"/>
      <w:szCs w:val="20"/>
      <w:lang w:val="es-MX"/>
    </w:rPr>
  </w:style>
  <w:style w:type="paragraph" w:styleId="Ttulo2">
    <w:name w:val="heading 2"/>
    <w:basedOn w:val="Normal"/>
    <w:next w:val="Textoindependiente"/>
    <w:link w:val="Ttulo2Car"/>
    <w:uiPriority w:val="9"/>
    <w:unhideWhenUsed/>
    <w:qFormat/>
    <w:rsid w:val="00B0596D"/>
    <w:pPr>
      <w:keepNext/>
      <w:keepLines/>
      <w:spacing w:before="160" w:after="80"/>
      <w:outlineLvl w:val="1"/>
    </w:pPr>
    <w:rPr>
      <w:rFonts w:ascii="Times New Roman" w:eastAsiaTheme="majorEastAsia" w:hAnsi="Times New Roman" w:cs="Times New Roman"/>
      <w:i/>
      <w:iCs/>
      <w:color w:val="000000" w:themeColor="text1"/>
      <w:sz w:val="20"/>
      <w:szCs w:val="20"/>
      <w:lang w:val="es-MX"/>
    </w:rPr>
  </w:style>
  <w:style w:type="paragraph" w:styleId="Ttulo3">
    <w:name w:val="heading 3"/>
    <w:basedOn w:val="Normal"/>
    <w:next w:val="Textoindependiente"/>
    <w:link w:val="Ttulo3Car"/>
    <w:uiPriority w:val="9"/>
    <w:semiHidden/>
    <w:unhideWhenUsed/>
    <w:qFormat/>
    <w:rsid w:val="00461EF2"/>
    <w:pPr>
      <w:keepNext/>
      <w:keepLines/>
      <w:spacing w:before="160" w:after="80"/>
      <w:outlineLvl w:val="2"/>
    </w:pPr>
    <w:rPr>
      <w:rFonts w:ascii="Times New Roman" w:eastAsiaTheme="majorEastAsia" w:hAnsi="Times New Roman" w:cstheme="majorBidi"/>
      <w:i/>
      <w:sz w:val="20"/>
      <w:szCs w:val="28"/>
    </w:rPr>
  </w:style>
  <w:style w:type="paragraph" w:styleId="Ttulo4">
    <w:name w:val="heading 4"/>
    <w:basedOn w:val="Normal"/>
    <w:next w:val="Textoindependiente"/>
    <w:link w:val="Ttulo4C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Textoindependiente"/>
    <w:link w:val="Ttulo5C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Textoindependiente"/>
    <w:link w:val="Ttulo6C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Textoindependiente"/>
    <w:link w:val="Ttulo7C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Textoindependiente"/>
    <w:link w:val="Ttulo8C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Textoindependiente"/>
    <w:link w:val="Ttulo9C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qFormat/>
    <w:rsid w:val="008D7AE6"/>
    <w:pPr>
      <w:spacing w:after="0"/>
      <w:jc w:val="both"/>
    </w:pPr>
    <w:rPr>
      <w:rFonts w:ascii="Times New Roman" w:hAnsi="Times New Roman" w:cs="Times New Roman"/>
      <w:sz w:val="20"/>
      <w:szCs w:val="21"/>
      <w:lang w:val="es-MX"/>
    </w:rPr>
  </w:style>
  <w:style w:type="paragraph" w:customStyle="1" w:styleId="FirstParagraph">
    <w:name w:val="First Paragraph"/>
    <w:basedOn w:val="Textoindependiente"/>
    <w:next w:val="Textoindependiente"/>
    <w:qFormat/>
    <w:rsid w:val="008D7AE6"/>
    <w:pPr>
      <w:ind w:firstLine="720"/>
    </w:pPr>
    <w:rPr>
      <w:szCs w:val="20"/>
    </w:rPr>
  </w:style>
  <w:style w:type="paragraph" w:customStyle="1" w:styleId="Compact">
    <w:name w:val="Compact"/>
    <w:basedOn w:val="Textoindependiente"/>
    <w:qFormat/>
    <w:pPr>
      <w:spacing w:before="36" w:after="36"/>
    </w:pPr>
  </w:style>
  <w:style w:type="paragraph" w:styleId="Ttulo">
    <w:name w:val="Title"/>
    <w:basedOn w:val="Normal"/>
    <w:next w:val="Textoindependiente"/>
    <w:link w:val="TtuloCar"/>
    <w:uiPriority w:val="10"/>
    <w:qFormat/>
    <w:rsid w:val="003F4A57"/>
    <w:pPr>
      <w:spacing w:after="80"/>
      <w:contextualSpacing/>
      <w:jc w:val="center"/>
    </w:pPr>
    <w:rPr>
      <w:rFonts w:ascii="Calibri" w:eastAsiaTheme="majorEastAsia" w:hAnsi="Calibri" w:cs="Calibri"/>
      <w:b/>
      <w:bCs/>
      <w:sz w:val="32"/>
      <w:szCs w:val="32"/>
      <w:lang w:val="es-MX"/>
    </w:rPr>
  </w:style>
  <w:style w:type="character" w:customStyle="1" w:styleId="TtuloCar">
    <w:name w:val="Título Car"/>
    <w:basedOn w:val="Fuentedeprrafopredeter"/>
    <w:link w:val="Ttulo"/>
    <w:uiPriority w:val="10"/>
    <w:rsid w:val="003F4A57"/>
    <w:rPr>
      <w:rFonts w:ascii="Calibri" w:eastAsiaTheme="majorEastAsia" w:hAnsi="Calibri" w:cs="Calibri"/>
      <w:b/>
      <w:bCs/>
      <w:sz w:val="32"/>
      <w:szCs w:val="32"/>
      <w:lang w:val="es-MX"/>
    </w:rPr>
  </w:style>
  <w:style w:type="paragraph" w:styleId="Subttulo">
    <w:name w:val="Subtitle"/>
    <w:basedOn w:val="Ttulo"/>
    <w:next w:val="Textoindependiente"/>
    <w:link w:val="SubttuloCar"/>
    <w:uiPriority w:val="11"/>
    <w:qFormat/>
    <w:rsid w:val="00A10FD9"/>
    <w:pPr>
      <w:numPr>
        <w:ilvl w:val="1"/>
      </w:numPr>
    </w:pPr>
    <w:rPr>
      <w:rFonts w:cstheme="majorBidi"/>
      <w:spacing w:val="15"/>
      <w:sz w:val="28"/>
      <w:szCs w:val="28"/>
    </w:rPr>
  </w:style>
  <w:style w:type="character" w:customStyle="1" w:styleId="SubttuloCar">
    <w:name w:val="Subtítulo Car"/>
    <w:basedOn w:val="Fuentedeprrafopredeter"/>
    <w:link w:val="Subttulo"/>
    <w:uiPriority w:val="11"/>
    <w:rsid w:val="00A10FD9"/>
    <w:rPr>
      <w:rFonts w:eastAsiaTheme="majorEastAsia" w:cstheme="majorBidi"/>
      <w:color w:val="595959" w:themeColor="text1" w:themeTint="A6"/>
      <w:spacing w:val="15"/>
      <w:sz w:val="28"/>
      <w:szCs w:val="28"/>
    </w:rPr>
  </w:style>
  <w:style w:type="paragraph" w:customStyle="1" w:styleId="Author">
    <w:name w:val="Author"/>
    <w:basedOn w:val="Ttulo"/>
    <w:next w:val="Textoindependiente"/>
    <w:qFormat/>
    <w:rsid w:val="00300B20"/>
    <w:pPr>
      <w:keepNext/>
      <w:keepLines/>
    </w:pPr>
    <w:rPr>
      <w:rFonts w:ascii="Times New Roman" w:hAnsi="Times New Roman" w:cs="Times New Roman"/>
      <w:b w:val="0"/>
      <w:bCs w:val="0"/>
      <w:sz w:val="20"/>
      <w:szCs w:val="20"/>
    </w:rPr>
  </w:style>
  <w:style w:type="paragraph" w:styleId="Fecha">
    <w:name w:val="Date"/>
    <w:basedOn w:val="Ttulo"/>
    <w:next w:val="Textoindependiente"/>
    <w:qFormat/>
    <w:pPr>
      <w:keepNext/>
      <w:keepLines/>
    </w:pPr>
    <w:rPr>
      <w:sz w:val="24"/>
      <w:szCs w:val="24"/>
    </w:r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Textoindependiente"/>
    <w:qFormat/>
    <w:pPr>
      <w:keepNext/>
      <w:keepLines/>
      <w:spacing w:before="100" w:after="300"/>
    </w:pPr>
    <w:rPr>
      <w:sz w:val="20"/>
      <w:szCs w:val="20"/>
    </w:rPr>
  </w:style>
  <w:style w:type="paragraph" w:styleId="Bibliografa">
    <w:name w:val="Bibliography"/>
    <w:basedOn w:val="Normal"/>
    <w:qFormat/>
    <w:rsid w:val="00C50BCD"/>
    <w:pPr>
      <w:jc w:val="both"/>
    </w:pPr>
    <w:rPr>
      <w:rFonts w:ascii="Times New Roman" w:hAnsi="Times New Roman" w:cs="Times New Roman"/>
      <w:sz w:val="16"/>
      <w:szCs w:val="16"/>
    </w:rPr>
  </w:style>
  <w:style w:type="character" w:customStyle="1" w:styleId="Ttulo1Car">
    <w:name w:val="Título 1 Car"/>
    <w:basedOn w:val="Fuentedeprrafopredeter"/>
    <w:link w:val="Ttulo1"/>
    <w:uiPriority w:val="9"/>
    <w:rsid w:val="003F4A57"/>
    <w:rPr>
      <w:rFonts w:ascii="Times New Roman" w:eastAsiaTheme="majorEastAsia" w:hAnsi="Times New Roman" w:cs="Times New Roman"/>
      <w:b/>
      <w:bCs/>
      <w:color w:val="000000" w:themeColor="text1"/>
      <w:sz w:val="20"/>
      <w:szCs w:val="20"/>
      <w:lang w:val="es-MX"/>
    </w:rPr>
  </w:style>
  <w:style w:type="character" w:customStyle="1" w:styleId="Ttulo2Car">
    <w:name w:val="Título 2 Car"/>
    <w:basedOn w:val="Fuentedeprrafopredeter"/>
    <w:link w:val="Ttulo2"/>
    <w:uiPriority w:val="9"/>
    <w:rsid w:val="00B0596D"/>
    <w:rPr>
      <w:rFonts w:ascii="Times New Roman" w:eastAsiaTheme="majorEastAsia" w:hAnsi="Times New Roman" w:cs="Times New Roman"/>
      <w:i/>
      <w:iCs/>
      <w:color w:val="000000" w:themeColor="text1"/>
      <w:sz w:val="20"/>
      <w:szCs w:val="20"/>
      <w:lang w:val="es-MX"/>
    </w:rPr>
  </w:style>
  <w:style w:type="character" w:customStyle="1" w:styleId="Ttulo3Car">
    <w:name w:val="Título 3 Car"/>
    <w:basedOn w:val="Fuentedeprrafopredeter"/>
    <w:link w:val="Ttulo3"/>
    <w:uiPriority w:val="9"/>
    <w:semiHidden/>
    <w:rsid w:val="00461EF2"/>
    <w:rPr>
      <w:rFonts w:ascii="Times New Roman" w:eastAsiaTheme="majorEastAsia" w:hAnsi="Times New Roman" w:cstheme="majorBidi"/>
      <w:i/>
      <w:sz w:val="20"/>
      <w:szCs w:val="28"/>
    </w:rPr>
  </w:style>
  <w:style w:type="character" w:customStyle="1" w:styleId="Ttulo4Car">
    <w:name w:val="Título 4 Car"/>
    <w:basedOn w:val="Fuentedeprrafopredeter"/>
    <w:link w:val="Ttulo4"/>
    <w:uiPriority w:val="9"/>
    <w:semiHidden/>
    <w:rsid w:val="00A10FD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10FD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10F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10F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10F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10FD9"/>
    <w:rPr>
      <w:rFonts w:eastAsiaTheme="majorEastAsia" w:cstheme="majorBidi"/>
      <w:color w:val="272727" w:themeColor="text1" w:themeTint="D8"/>
    </w:rPr>
  </w:style>
  <w:style w:type="paragraph" w:styleId="Textodebloque">
    <w:name w:val="Block Text"/>
    <w:basedOn w:val="Textoindependiente"/>
    <w:next w:val="Textoindependiente"/>
    <w:uiPriority w:val="9"/>
    <w:unhideWhenUsed/>
    <w:qFormat/>
    <w:pPr>
      <w:spacing w:before="100" w:after="100"/>
      <w:ind w:left="480" w:right="480"/>
    </w:pPr>
  </w:style>
  <w:style w:type="paragraph" w:styleId="Textonotapie">
    <w:name w:val="footnote text"/>
    <w:basedOn w:val="Normal"/>
    <w:uiPriority w:val="9"/>
    <w:unhideWhenUsed/>
    <w:qFormat/>
    <w:rsid w:val="00A07F07"/>
    <w:pPr>
      <w:spacing w:after="0"/>
    </w:pPr>
    <w:rPr>
      <w:rFonts w:ascii="Times New Roman" w:hAnsi="Times New Roman" w:cs="Times New Roman"/>
      <w:sz w:val="16"/>
      <w:szCs w:val="16"/>
    </w:rPr>
  </w:style>
  <w:style w:type="paragraph" w:customStyle="1" w:styleId="FootnoteBlockText">
    <w:name w:val="Footnote Block Text"/>
    <w:basedOn w:val="Textonotapie"/>
    <w:next w:val="Textonotapie"/>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rsid w:val="0093360E"/>
    <w:pPr>
      <w:jc w:val="center"/>
    </w:pPr>
    <w:rPr>
      <w:rFonts w:ascii="Times New Roman" w:hAnsi="Times New Roman" w:cs="Times New Roman"/>
      <w:i w:val="0"/>
      <w:sz w:val="20"/>
      <w:szCs w:val="20"/>
      <w:lang w:val="es-MX"/>
    </w:rPr>
  </w:style>
  <w:style w:type="paragraph" w:customStyle="1" w:styleId="Figure">
    <w:name w:val="Figure"/>
    <w:basedOn w:val="Normal"/>
  </w:style>
  <w:style w:type="paragraph" w:customStyle="1" w:styleId="CaptionedFigure">
    <w:name w:val="Captioned Figure"/>
    <w:basedOn w:val="Figure"/>
    <w:rsid w:val="00B0596D"/>
    <w:pPr>
      <w:keepNext/>
      <w:jc w:val="center"/>
    </w:pPr>
    <w:rPr>
      <w:noProof/>
    </w:r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customStyle="1" w:styleId="SectionNumber">
    <w:name w:val="Section Number"/>
    <w:basedOn w:val="DescripcinCar"/>
  </w:style>
  <w:style w:type="character" w:styleId="Refdenotaalpie">
    <w:name w:val="footnote reference"/>
    <w:basedOn w:val="DescripcinCar"/>
    <w:rPr>
      <w:vertAlign w:val="superscript"/>
    </w:rPr>
  </w:style>
  <w:style w:type="character" w:styleId="Hipervnculo">
    <w:name w:val="Hyperlink"/>
    <w:basedOn w:val="DescripcinCar"/>
    <w:rPr>
      <w:color w:val="156082" w:themeColor="accent1"/>
    </w:rPr>
  </w:style>
  <w:style w:type="paragraph" w:styleId="TtuloTDC">
    <w:name w:val="TOC Heading"/>
    <w:basedOn w:val="Ttulo1"/>
    <w:next w:val="Textoindependiente"/>
    <w:uiPriority w:val="39"/>
    <w:unhideWhenUsed/>
    <w:qFormat/>
    <w:pPr>
      <w:spacing w:before="240" w:line="259" w:lineRule="auto"/>
      <w:outlineLvl w:val="9"/>
    </w:pPr>
    <w:rPr>
      <w:rFonts w:asciiTheme="majorHAnsi" w:hAnsiTheme="majorHAnsi" w:cstheme="majorBidi"/>
      <w:color w:val="0F476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Textodelmarcadordeposicin">
    <w:name w:val="Placeholder Text"/>
    <w:basedOn w:val="Fuentedeprrafopredeter"/>
    <w:rsid w:val="007265A5"/>
    <w:rPr>
      <w:color w:val="666666"/>
    </w:rPr>
  </w:style>
  <w:style w:type="character" w:styleId="Mencinsinresolver">
    <w:name w:val="Unresolved Mention"/>
    <w:basedOn w:val="Fuentedeprrafopredeter"/>
    <w:uiPriority w:val="99"/>
    <w:semiHidden/>
    <w:unhideWhenUsed/>
    <w:rsid w:val="00EF3DE6"/>
    <w:rPr>
      <w:color w:val="605E5C"/>
      <w:shd w:val="clear" w:color="auto" w:fill="E1DFDD"/>
    </w:rPr>
  </w:style>
  <w:style w:type="character" w:styleId="Refdecomentario">
    <w:name w:val="annotation reference"/>
    <w:basedOn w:val="Fuentedeprrafopredeter"/>
    <w:rsid w:val="0085266B"/>
    <w:rPr>
      <w:sz w:val="16"/>
      <w:szCs w:val="16"/>
    </w:rPr>
  </w:style>
  <w:style w:type="paragraph" w:styleId="Textocomentario">
    <w:name w:val="annotation text"/>
    <w:basedOn w:val="Normal"/>
    <w:link w:val="TextocomentarioCar"/>
    <w:rsid w:val="0085266B"/>
    <w:rPr>
      <w:sz w:val="20"/>
      <w:szCs w:val="20"/>
    </w:rPr>
  </w:style>
  <w:style w:type="character" w:customStyle="1" w:styleId="TextocomentarioCar">
    <w:name w:val="Texto comentario Car"/>
    <w:basedOn w:val="Fuentedeprrafopredeter"/>
    <w:link w:val="Textocomentario"/>
    <w:rsid w:val="0085266B"/>
    <w:rPr>
      <w:sz w:val="20"/>
      <w:szCs w:val="20"/>
    </w:rPr>
  </w:style>
  <w:style w:type="paragraph" w:styleId="Asuntodelcomentario">
    <w:name w:val="annotation subject"/>
    <w:basedOn w:val="Textocomentario"/>
    <w:next w:val="Textocomentario"/>
    <w:link w:val="AsuntodelcomentarioCar"/>
    <w:rsid w:val="0085266B"/>
    <w:rPr>
      <w:b/>
      <w:bCs/>
    </w:rPr>
  </w:style>
  <w:style w:type="character" w:customStyle="1" w:styleId="AsuntodelcomentarioCar">
    <w:name w:val="Asunto del comentario Car"/>
    <w:basedOn w:val="TextocomentarioCar"/>
    <w:link w:val="Asuntodelcomentario"/>
    <w:rsid w:val="0085266B"/>
    <w:rPr>
      <w:b/>
      <w:bCs/>
      <w:sz w:val="20"/>
      <w:szCs w:val="20"/>
    </w:rPr>
  </w:style>
  <w:style w:type="paragraph" w:customStyle="1" w:styleId="Figura">
    <w:name w:val="Figura"/>
    <w:basedOn w:val="Normal"/>
    <w:link w:val="FiguraChar"/>
    <w:qFormat/>
    <w:rsid w:val="00CB23C1"/>
    <w:pPr>
      <w:spacing w:after="0"/>
      <w:ind w:firstLine="270"/>
    </w:pPr>
    <w:rPr>
      <w:rFonts w:ascii="Times New Roman" w:eastAsia="Calibri" w:hAnsi="Times New Roman" w:cs="Times New Roman"/>
      <w:color w:val="1F497D"/>
      <w:sz w:val="20"/>
      <w:szCs w:val="22"/>
      <w:lang w:val="es-MX"/>
    </w:rPr>
  </w:style>
  <w:style w:type="character" w:customStyle="1" w:styleId="FiguraChar">
    <w:name w:val="Figura Char"/>
    <w:basedOn w:val="Fuentedeprrafopredeter"/>
    <w:link w:val="Figura"/>
    <w:rsid w:val="00CB23C1"/>
    <w:rPr>
      <w:rFonts w:ascii="Times New Roman" w:eastAsia="Calibri" w:hAnsi="Times New Roman" w:cs="Times New Roman"/>
      <w:color w:val="1F497D"/>
      <w:sz w:val="20"/>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hyperlink" Target="https://doi.org/10.3390/polym15030560"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hyperlink" Target="https://doi.org/10.1016/j.ijhydene.2022.07.085" TargetMode="External"/><Relationship Id="rId2" Type="http://schemas.openxmlformats.org/officeDocument/2006/relationships/styles" Target="styles.xml"/><Relationship Id="rId16" Type="http://schemas.openxmlformats.org/officeDocument/2006/relationships/hyperlink" Target="https://doi.org/10.1109/IAS.2022.9940811" TargetMode="External"/><Relationship Id="rId20" Type="http://schemas.openxmlformats.org/officeDocument/2006/relationships/hyperlink" Target="https://doi.org/10.1016/j.ijhydene.2016.03.11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doi.org/10.1016/j.ijhydene.2020.04.147" TargetMode="External"/><Relationship Id="rId10" Type="http://schemas.openxmlformats.org/officeDocument/2006/relationships/image" Target="media/image4.jpg"/><Relationship Id="rId19" Type="http://schemas.openxmlformats.org/officeDocument/2006/relationships/hyperlink" Target="https://doi.org/10.1016/j.engsci.2021.02.005" TargetMode="Externa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doi.org/10.1016/j.ijhydene.2021.11.11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gmarx_cc@itmorelia.edu.m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109</TotalTime>
  <Pages>6</Pages>
  <Words>2669</Words>
  <Characters>14685</Characters>
  <Application>Microsoft Office Word</Application>
  <DocSecurity>0</DocSecurity>
  <Lines>122</Lines>
  <Paragraphs>34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Desarrollo de un Sistema de Caracterización de Celdas de Electrólisis Alcalina mediante Curvas de Polarización usando NI-VISA y Python</vt:lpstr>
      <vt:lpstr>Desarrollo de un Sistema de Caracterización de Celdas de Electrólisis Alcalina mediante Curvas de Polarización usando NI-VISA y Python</vt:lpstr>
    </vt:vector>
  </TitlesOfParts>
  <Company/>
  <LinksUpToDate>false</LinksUpToDate>
  <CharactersWithSpaces>17320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Desarrollo de un Sistema de Caracterización de Celdas de Electrólisis Alcalina mediante Curvas de Polarización usando NI-VISA y Python</dc:title>
  <dc:creator>Mario Guillermo Ponce-Hernández;Gerardo Marx Chávez-Campos;Héctor Javier Vergara-Hernández;Julio Cesar González-Juárez;Luis Ulises Chávez-Campos</dc:creator>
  <cp:keywords>Key 1, Key 2</cp:keywords>
  <cp:lastModifiedBy>mario guillermo ponce hernandez</cp:lastModifiedBy>
  <cp:revision>19</cp:revision>
  <dcterms:created xsi:type="dcterms:W3CDTF">2025-12-02T08:48:00Z</dcterms:created>
  <dcterms:modified xsi:type="dcterms:W3CDTF">2025-12-02T19:40:00Z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oEqnLabels">
    <vt:lpwstr>False</vt:lpwstr>
  </property>
  <property fmtid="{D5CDD505-2E9C-101B-9397-08002B2CF9AE}" pid="3" name="autoSectionLabels">
    <vt:lpwstr>False</vt:lpwstr>
  </property>
  <property fmtid="{D5CDD505-2E9C-101B-9397-08002B2CF9AE}" pid="4" name="bibliography">
    <vt:lpwstr>referencias.bib</vt:lpwstr>
  </property>
  <property fmtid="{D5CDD505-2E9C-101B-9397-08002B2CF9AE}" pid="5" name="ccsDelim">
    <vt:lpwstr>, </vt:lpwstr>
  </property>
  <property fmtid="{D5CDD505-2E9C-101B-9397-08002B2CF9AE}" pid="6" name="ccsLabelSep">
    <vt:lpwstr> — </vt:lpwstr>
  </property>
  <property fmtid="{D5CDD505-2E9C-101B-9397-08002B2CF9AE}" pid="7" name="ccsTemplate">
    <vt:lpwstr>iccsLabelSept</vt:lpwstr>
  </property>
  <property fmtid="{D5CDD505-2E9C-101B-9397-08002B2CF9AE}" pid="8" name="chapDelim">
    <vt:lpwstr>.</vt:lpwstr>
  </property>
  <property fmtid="{D5CDD505-2E9C-101B-9397-08002B2CF9AE}" pid="9" name="chapters">
    <vt:lpwstr>False</vt:lpwstr>
  </property>
  <property fmtid="{D5CDD505-2E9C-101B-9397-08002B2CF9AE}" pid="10" name="chaptersDepth">
    <vt:lpwstr>1</vt:lpwstr>
  </property>
  <property fmtid="{D5CDD505-2E9C-101B-9397-08002B2CF9AE}" pid="11" name="codeBlockCaptions">
    <vt:lpwstr>False</vt:lpwstr>
  </property>
  <property fmtid="{D5CDD505-2E9C-101B-9397-08002B2CF9AE}" pid="12" name="cref">
    <vt:lpwstr>False</vt:lpwstr>
  </property>
  <property fmtid="{D5CDD505-2E9C-101B-9397-08002B2CF9AE}" pid="13" name="crossrefYaml">
    <vt:lpwstr>pandoc-crossref.yaml</vt:lpwstr>
  </property>
  <property fmtid="{D5CDD505-2E9C-101B-9397-08002B2CF9AE}" pid="14" name="csl">
    <vt:lpwstr>apa-6th-edition.csl</vt:lpwstr>
  </property>
  <property fmtid="{D5CDD505-2E9C-101B-9397-08002B2CF9AE}" pid="15" name="date">
    <vt:lpwstr>2025-11-19</vt:lpwstr>
  </property>
  <property fmtid="{D5CDD505-2E9C-101B-9397-08002B2CF9AE}" pid="16" name="eqLabels">
    <vt:lpwstr>arabic</vt:lpwstr>
  </property>
  <property fmtid="{D5CDD505-2E9C-101B-9397-08002B2CF9AE}" pid="17" name="eqnBlockInlineMath">
    <vt:lpwstr>False</vt:lpwstr>
  </property>
  <property fmtid="{D5CDD505-2E9C-101B-9397-08002B2CF9AE}" pid="18" name="eqnBlockTemplate">
    <vt:lpwstr>ti</vt:lpwstr>
  </property>
  <property fmtid="{D5CDD505-2E9C-101B-9397-08002B2CF9AE}" pid="19" name="eqnIndexTemplate">
    <vt:lpwstr>(i)</vt:lpwstr>
  </property>
  <property fmtid="{D5CDD505-2E9C-101B-9397-08002B2CF9AE}" pid="20" name="eqnInlineTemplate">
    <vt:lpwstr>eequationNumberTeX{i}</vt:lpwstr>
  </property>
  <property fmtid="{D5CDD505-2E9C-101B-9397-08002B2CF9AE}" pid="21" name="eqnPrefix">
    <vt:lpwstr/>
  </property>
  <property fmtid="{D5CDD505-2E9C-101B-9397-08002B2CF9AE}" pid="22" name="eqnPrefixTemplate">
    <vt:lpwstr>p i</vt:lpwstr>
  </property>
  <property fmtid="{D5CDD505-2E9C-101B-9397-08002B2CF9AE}" pid="23" name="equationNumberTeX">
    <vt:lpwstr>\qquad</vt:lpwstr>
  </property>
  <property fmtid="{D5CDD505-2E9C-101B-9397-08002B2CF9AE}" pid="24" name="figLabels">
    <vt:lpwstr>arabic</vt:lpwstr>
  </property>
  <property fmtid="{D5CDD505-2E9C-101B-9397-08002B2CF9AE}" pid="25" name="figPrefix">
    <vt:lpwstr/>
  </property>
  <property fmtid="{D5CDD505-2E9C-101B-9397-08002B2CF9AE}" pid="26" name="figPrefixTemplate">
    <vt:lpwstr>p i</vt:lpwstr>
  </property>
  <property fmtid="{D5CDD505-2E9C-101B-9397-08002B2CF9AE}" pid="27" name="figureTemplate">
    <vt:lpwstr>figureTitle ititleDelim t</vt:lpwstr>
  </property>
  <property fmtid="{D5CDD505-2E9C-101B-9397-08002B2CF9AE}" pid="28" name="figureTitle">
    <vt:lpwstr>Figure</vt:lpwstr>
  </property>
  <property fmtid="{D5CDD505-2E9C-101B-9397-08002B2CF9AE}" pid="29" name="lastDelim">
    <vt:lpwstr>, </vt:lpwstr>
  </property>
  <property fmtid="{D5CDD505-2E9C-101B-9397-08002B2CF9AE}" pid="30" name="linkReferences">
    <vt:lpwstr>False</vt:lpwstr>
  </property>
  <property fmtid="{D5CDD505-2E9C-101B-9397-08002B2CF9AE}" pid="31" name="listItemTitleDelim">
    <vt:lpwstr>.</vt:lpwstr>
  </property>
  <property fmtid="{D5CDD505-2E9C-101B-9397-08002B2CF9AE}" pid="32" name="listingTemplate">
    <vt:lpwstr>listingTitle ititleDelim t</vt:lpwstr>
  </property>
  <property fmtid="{D5CDD505-2E9C-101B-9397-08002B2CF9AE}" pid="33" name="listingTitle">
    <vt:lpwstr>Listing</vt:lpwstr>
  </property>
  <property fmtid="{D5CDD505-2E9C-101B-9397-08002B2CF9AE}" pid="34" name="listings">
    <vt:lpwstr>False</vt:lpwstr>
  </property>
  <property fmtid="{D5CDD505-2E9C-101B-9397-08002B2CF9AE}" pid="35" name="lofItemTemplate">
    <vt:lpwstr>lofItemTitleilistItemTitleDelimt </vt:lpwstr>
  </property>
  <property fmtid="{D5CDD505-2E9C-101B-9397-08002B2CF9AE}" pid="36" name="lofItemTitle">
    <vt:lpwstr/>
  </property>
  <property fmtid="{D5CDD505-2E9C-101B-9397-08002B2CF9AE}" pid="37" name="lofTitle">
    <vt:lpwstr>List of Figures</vt:lpwstr>
  </property>
  <property fmtid="{D5CDD505-2E9C-101B-9397-08002B2CF9AE}" pid="38" name="lolItemTemplate">
    <vt:lpwstr>lolItemTitleilistItemTitleDelimt </vt:lpwstr>
  </property>
  <property fmtid="{D5CDD505-2E9C-101B-9397-08002B2CF9AE}" pid="39" name="lolItemTitle">
    <vt:lpwstr/>
  </property>
  <property fmtid="{D5CDD505-2E9C-101B-9397-08002B2CF9AE}" pid="40" name="lolTitle">
    <vt:lpwstr>List of Listings</vt:lpwstr>
  </property>
  <property fmtid="{D5CDD505-2E9C-101B-9397-08002B2CF9AE}" pid="41" name="lotItemTemplate">
    <vt:lpwstr>lotItemTitleilistItemTitleDelimt </vt:lpwstr>
  </property>
  <property fmtid="{D5CDD505-2E9C-101B-9397-08002B2CF9AE}" pid="42" name="lotItemTitle">
    <vt:lpwstr/>
  </property>
  <property fmtid="{D5CDD505-2E9C-101B-9397-08002B2CF9AE}" pid="43" name="lotTitle">
    <vt:lpwstr>List of Tables</vt:lpwstr>
  </property>
  <property fmtid="{D5CDD505-2E9C-101B-9397-08002B2CF9AE}" pid="44" name="lstLabels">
    <vt:lpwstr>arabic</vt:lpwstr>
  </property>
  <property fmtid="{D5CDD505-2E9C-101B-9397-08002B2CF9AE}" pid="45" name="lstPrefix">
    <vt:lpwstr/>
  </property>
  <property fmtid="{D5CDD505-2E9C-101B-9397-08002B2CF9AE}" pid="46" name="lstPrefixTemplate">
    <vt:lpwstr>p i</vt:lpwstr>
  </property>
  <property fmtid="{D5CDD505-2E9C-101B-9397-08002B2CF9AE}" pid="47" name="nameInLink">
    <vt:lpwstr>False</vt:lpwstr>
  </property>
  <property fmtid="{D5CDD505-2E9C-101B-9397-08002B2CF9AE}" pid="48" name="numberSections">
    <vt:lpwstr>False</vt:lpwstr>
  </property>
  <property fmtid="{D5CDD505-2E9C-101B-9397-08002B2CF9AE}" pid="49" name="pairDelim">
    <vt:lpwstr>, </vt:lpwstr>
  </property>
  <property fmtid="{D5CDD505-2E9C-101B-9397-08002B2CF9AE}" pid="50" name="rangeDelim">
    <vt:lpwstr>-</vt:lpwstr>
  </property>
  <property fmtid="{D5CDD505-2E9C-101B-9397-08002B2CF9AE}" pid="51" name="refDelim">
    <vt:lpwstr>, </vt:lpwstr>
  </property>
  <property fmtid="{D5CDD505-2E9C-101B-9397-08002B2CF9AE}" pid="52" name="refIndexTemplate">
    <vt:lpwstr>isuf</vt:lpwstr>
  </property>
  <property fmtid="{D5CDD505-2E9C-101B-9397-08002B2CF9AE}" pid="53" name="secHeaderDelim">
    <vt:lpwstr> </vt:lpwstr>
  </property>
  <property fmtid="{D5CDD505-2E9C-101B-9397-08002B2CF9AE}" pid="54" name="secHeaderTemplate">
    <vt:lpwstr>isecHeaderDelim[n]t</vt:lpwstr>
  </property>
  <property fmtid="{D5CDD505-2E9C-101B-9397-08002B2CF9AE}" pid="55" name="secLabels">
    <vt:lpwstr>arabic</vt:lpwstr>
  </property>
  <property fmtid="{D5CDD505-2E9C-101B-9397-08002B2CF9AE}" pid="56" name="secPrefix">
    <vt:lpwstr/>
  </property>
  <property fmtid="{D5CDD505-2E9C-101B-9397-08002B2CF9AE}" pid="57" name="secPrefixTemplate">
    <vt:lpwstr>p i</vt:lpwstr>
  </property>
  <property fmtid="{D5CDD505-2E9C-101B-9397-08002B2CF9AE}" pid="58" name="sectionsDepth">
    <vt:lpwstr>0</vt:lpwstr>
  </property>
  <property fmtid="{D5CDD505-2E9C-101B-9397-08002B2CF9AE}" pid="59" name="subfigGrid">
    <vt:lpwstr>False</vt:lpwstr>
  </property>
  <property fmtid="{D5CDD505-2E9C-101B-9397-08002B2CF9AE}" pid="60" name="subfigLabels">
    <vt:lpwstr>alpha a</vt:lpwstr>
  </property>
  <property fmtid="{D5CDD505-2E9C-101B-9397-08002B2CF9AE}" pid="61" name="subfigureChildTemplate">
    <vt:lpwstr>i</vt:lpwstr>
  </property>
  <property fmtid="{D5CDD505-2E9C-101B-9397-08002B2CF9AE}" pid="62" name="subfigureRefIndexTemplate">
    <vt:lpwstr>isuf (s)</vt:lpwstr>
  </property>
  <property fmtid="{D5CDD505-2E9C-101B-9397-08002B2CF9AE}" pid="63" name="subfigureTemplate">
    <vt:lpwstr>figureTitle ititleDelim t. ccs</vt:lpwstr>
  </property>
  <property fmtid="{D5CDD505-2E9C-101B-9397-08002B2CF9AE}" pid="64" name="tableEqns">
    <vt:lpwstr>False</vt:lpwstr>
  </property>
  <property fmtid="{D5CDD505-2E9C-101B-9397-08002B2CF9AE}" pid="65" name="tableTemplate">
    <vt:lpwstr>tableTitle ititleDelim t</vt:lpwstr>
  </property>
  <property fmtid="{D5CDD505-2E9C-101B-9397-08002B2CF9AE}" pid="66" name="tableTitle">
    <vt:lpwstr>Table</vt:lpwstr>
  </property>
  <property fmtid="{D5CDD505-2E9C-101B-9397-08002B2CF9AE}" pid="67" name="tblLabels">
    <vt:lpwstr>arabic</vt:lpwstr>
  </property>
  <property fmtid="{D5CDD505-2E9C-101B-9397-08002B2CF9AE}" pid="68" name="tblPrefix">
    <vt:lpwstr/>
  </property>
  <property fmtid="{D5CDD505-2E9C-101B-9397-08002B2CF9AE}" pid="69" name="tblPrefixTemplate">
    <vt:lpwstr>p i</vt:lpwstr>
  </property>
  <property fmtid="{D5CDD505-2E9C-101B-9397-08002B2CF9AE}" pid="70" name="titleDelim">
    <vt:lpwstr>:</vt:lpwstr>
  </property>
</Properties>
</file>