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0A3A35" w14:textId="77777777" w:rsidR="00AD434F" w:rsidRDefault="00000000">
      <w:pPr>
        <w:pStyle w:val="Ttulo"/>
      </w:pPr>
      <w:r>
        <w:t>Análisis de la Variación de la Resistencia Eléctrica en Celdas de Electrólisis Alcalina mediante Curvas de Polarización</w:t>
      </w:r>
    </w:p>
    <w:p w14:paraId="3C0A3A36" w14:textId="77777777" w:rsidR="00AD434F" w:rsidRDefault="00000000">
      <w:pPr>
        <w:pStyle w:val="Author"/>
      </w:pPr>
      <w:r>
        <w:t>Mario Guillermo Ponce-Hernández</w:t>
      </w:r>
    </w:p>
    <w:p w14:paraId="3C0A3A37" w14:textId="77777777" w:rsidR="00AD434F" w:rsidRDefault="00000000">
      <w:pPr>
        <w:pStyle w:val="Author"/>
      </w:pPr>
      <w:r>
        <w:t>Gerardo Marx Chávez-Campos</w:t>
      </w:r>
    </w:p>
    <w:p w14:paraId="3C0A3A38" w14:textId="77777777" w:rsidR="00AD434F" w:rsidRDefault="00000000">
      <w:pPr>
        <w:pStyle w:val="Author"/>
      </w:pPr>
      <w:r>
        <w:t>Javier Correa-Gómez</w:t>
      </w:r>
    </w:p>
    <w:p w14:paraId="3C0A3A39" w14:textId="77777777" w:rsidR="00AD434F" w:rsidRDefault="00000000">
      <w:pPr>
        <w:pStyle w:val="Author"/>
      </w:pPr>
      <w:r>
        <w:t>Héctor Javier Vergara-Hernández</w:t>
      </w:r>
    </w:p>
    <w:p w14:paraId="3C0A3A3A" w14:textId="77777777" w:rsidR="00AD434F" w:rsidRDefault="00000000">
      <w:pPr>
        <w:pStyle w:val="Author"/>
      </w:pPr>
      <w:r>
        <w:t>Luis Ulises Chávez-Campos</w:t>
      </w:r>
    </w:p>
    <w:p w14:paraId="3C0A3A3B" w14:textId="77777777" w:rsidR="00AD434F" w:rsidRDefault="00000000">
      <w:pPr>
        <w:pStyle w:val="Fecha"/>
      </w:pPr>
      <w:r>
        <w:t>January 2026</w:t>
      </w:r>
    </w:p>
    <w:p w14:paraId="3C0A3A3C" w14:textId="77777777" w:rsidR="00AD434F" w:rsidRPr="001D0583" w:rsidRDefault="00000000">
      <w:pPr>
        <w:pStyle w:val="AbstractTitle"/>
        <w:rPr>
          <w:lang w:val="en-GB"/>
        </w:rPr>
      </w:pPr>
      <w:r w:rsidRPr="001D0583">
        <w:rPr>
          <w:lang w:val="en-GB"/>
        </w:rPr>
        <w:t>Resumen</w:t>
      </w:r>
    </w:p>
    <w:p w14:paraId="3C0A3A3D" w14:textId="77777777" w:rsidR="00AD434F" w:rsidRPr="001D0583" w:rsidRDefault="00000000">
      <w:pPr>
        <w:pStyle w:val="Abstract"/>
        <w:rPr>
          <w:lang w:val="en-GB"/>
        </w:rPr>
      </w:pPr>
      <w:r w:rsidRPr="001D0583">
        <w:rPr>
          <w:lang w:val="en-GB"/>
        </w:rPr>
        <w:t>This study analyzes the instantaneous electrical resistance of an alkaline electrolysis cell using voltage–current polarization curves, employing AISI 304 stainless-steel electrodes and a 1 M NaOH electrolyte. The cell is powered by a programmable DC supply, and voltage and current are recorded with high-resolution digital multimeters through a Python interface (PyVISA/SCPI) for automated acquisition and systematic data storage. A PT1000 sensor is included to measure the electrolyte bulk temperature. Two experiments were conducted, each consisting of four consecutive rounds using the same electrode pair and electrolyte, to evaluate changes derived from continued use. Results show reproducibility of the activation voltage (</w:t>
      </w:r>
      <m:oMath>
        <m:r>
          <m:rPr>
            <m:sty m:val="p"/>
          </m:rPr>
          <w:rPr>
            <w:rFonts w:ascii="Cambria Math" w:hAnsi="Cambria Math"/>
            <w:lang w:val="en-GB"/>
          </w:rPr>
          <m:t>≈</m:t>
        </m:r>
        <m:r>
          <w:rPr>
            <w:rFonts w:ascii="Cambria Math" w:hAnsi="Cambria Math"/>
            <w:lang w:val="en-GB"/>
          </w:rPr>
          <m:t>1.1</m:t>
        </m:r>
      </m:oMath>
      <w:r w:rsidRPr="001D0583">
        <w:rPr>
          <w:lang w:val="en-GB"/>
        </w:rPr>
        <w:t>–</w:t>
      </w:r>
      <m:oMath>
        <m:r>
          <w:rPr>
            <w:rFonts w:ascii="Cambria Math" w:hAnsi="Cambria Math"/>
            <w:lang w:val="en-GB"/>
          </w:rPr>
          <m:t>1.3</m:t>
        </m:r>
      </m:oMath>
      <w:r w:rsidRPr="001D0583">
        <w:rPr>
          <w:lang w:val="en-GB"/>
        </w:rPr>
        <w:t xml:space="preserve"> V) and the onset of visible gas generation (</w:t>
      </w:r>
      <m:oMath>
        <m:r>
          <m:rPr>
            <m:sty m:val="p"/>
          </m:rPr>
          <w:rPr>
            <w:rFonts w:ascii="Cambria Math" w:hAnsi="Cambria Math"/>
            <w:lang w:val="en-GB"/>
          </w:rPr>
          <m:t>≈</m:t>
        </m:r>
        <m:r>
          <w:rPr>
            <w:rFonts w:ascii="Cambria Math" w:hAnsi="Cambria Math"/>
            <w:lang w:val="en-GB"/>
          </w:rPr>
          <m:t>1.8</m:t>
        </m:r>
      </m:oMath>
      <w:r w:rsidRPr="001D0583">
        <w:rPr>
          <w:lang w:val="en-GB"/>
        </w:rPr>
        <w:t>–</w:t>
      </w:r>
      <m:oMath>
        <m:r>
          <w:rPr>
            <w:rFonts w:ascii="Cambria Math" w:hAnsi="Cambria Math"/>
            <w:lang w:val="en-GB"/>
          </w:rPr>
          <m:t>1.9</m:t>
        </m:r>
      </m:oMath>
      <w:r w:rsidRPr="001D0583">
        <w:rPr>
          <w:lang w:val="en-GB"/>
        </w:rPr>
        <w:t xml:space="preserve"> V). The instantaneous resistance computed using Ohm’s law exhibits an abrupt drop at the start of electrolysis, with reductions exceeding 90%. Within the operating range, inter-round variations are observed, attributable to electrode degradation and electrolyte changes, suggesting that instantaneous resistance is a practical indicator of cell condition and degradation during operation.</w:t>
      </w:r>
    </w:p>
    <w:p w14:paraId="3C0A3A3E" w14:textId="77777777" w:rsidR="00AD434F" w:rsidRDefault="00000000">
      <w:pPr>
        <w:pStyle w:val="Ttulo1"/>
      </w:pPr>
      <w:bookmarkStart w:id="0" w:name="introducción"/>
      <w:r>
        <w:t>1. Introducción</w:t>
      </w:r>
    </w:p>
    <w:p w14:paraId="3C0A3A3F" w14:textId="77777777" w:rsidR="00AD434F" w:rsidRDefault="00000000">
      <w:pPr>
        <w:pStyle w:val="FirstParagraph"/>
      </w:pPr>
      <w:r>
        <w:t>El hidrógeno (</w:t>
      </w:r>
      <m:oMath>
        <m:r>
          <w:rPr>
            <w:rFonts w:ascii="Cambria Math" w:hAnsi="Cambria Math"/>
          </w:rPr>
          <m:t>H</m:t>
        </m:r>
      </m:oMath>
      <w:r>
        <w:t>) es el elemento químico más simple, constituido por un protón y un electrón [1]. Debido a esta estructura, es el elemento más abundante del universo y se encuentra en grandes cantidades en las estrellas y los planetas gaseosos. En condiciones ambientales, el hidrógeno elemental se presenta principalmente como gas diatómico (</w:t>
      </w:r>
      <m:oMath>
        <m:sSub>
          <m:sSubPr>
            <m:ctrlPr>
              <w:rPr>
                <w:rFonts w:ascii="Cambria Math" w:hAnsi="Cambria Math"/>
              </w:rPr>
            </m:ctrlPr>
          </m:sSubPr>
          <m:e>
            <m:r>
              <w:rPr>
                <w:rFonts w:ascii="Cambria Math" w:hAnsi="Cambria Math"/>
              </w:rPr>
              <m:t>H</m:t>
            </m:r>
          </m:e>
          <m:sub>
            <m:r>
              <w:rPr>
                <w:rFonts w:ascii="Cambria Math" w:hAnsi="Cambria Math"/>
              </w:rPr>
              <m:t>2</m:t>
            </m:r>
          </m:sub>
        </m:sSub>
      </m:oMath>
      <w:r>
        <w:t>). Además, posee una alta energía específica (energía por unidad de masa), superior a la de combustibles convencionales [2].</w:t>
      </w:r>
    </w:p>
    <w:p w14:paraId="3C0A3A40" w14:textId="77777777" w:rsidR="00AD434F" w:rsidRDefault="00000000">
      <w:pPr>
        <w:pStyle w:val="Textoindependiente"/>
      </w:pPr>
      <w:r>
        <w:t xml:space="preserve">La producción de hidrógeno tiene la ventaja de desacoplar el proceso de generación del consumo, lo que contribuye a mitigar la intermitencia asociada a las energías renovables [3], [4], [5]. Además, en su uso final no produce emisiones de gases de efecto invernadero [6]. Existen diversos métodos de generar hidrógeno; sin embargo, dos de los más utilizados son la </w:t>
      </w:r>
      <w:r>
        <w:rPr>
          <w:i/>
          <w:iCs/>
        </w:rPr>
        <w:t>producción térmica</w:t>
      </w:r>
      <w:r>
        <w:t xml:space="preserve"> y </w:t>
      </w:r>
      <w:r>
        <w:rPr>
          <w:i/>
          <w:iCs/>
        </w:rPr>
        <w:t>la electroquímica</w:t>
      </w:r>
      <w:r>
        <w:t xml:space="preserve"> [1].</w:t>
      </w:r>
    </w:p>
    <w:p w14:paraId="3C0A3A41" w14:textId="77777777" w:rsidR="00AD434F" w:rsidRDefault="00000000">
      <w:pPr>
        <w:pStyle w:val="Textoindependiente"/>
      </w:pPr>
      <w:r>
        <w:t>Se espera que el hidrógeno verde desempeñe un papel crucial en la transición energética [8], ya que representa una de las pocas opciones viables para descarbonizar sectores difíciles de electrificar, como la industria metalúrgica y la química [9]. Proyecciones recientes estiman que la demanda de hidrógeno verde podría alcanzar 500 millones de toneladas para el año 2050 [10].</w:t>
      </w:r>
    </w:p>
    <w:p w14:paraId="3C0A3A42" w14:textId="77777777" w:rsidR="00AD434F" w:rsidRDefault="00000000">
      <w:pPr>
        <w:pStyle w:val="Textoindependiente"/>
      </w:pPr>
      <w:r>
        <w:t>Específicamente, la electrólisis es un proceso químico que utiliza energía eléctrica para forzar una reacción de oxidación-reducción no espontánea en una sustancia química [11]. Este fenómeno ocurre en una celda electroquímica, donde se aplica una diferencia de potencial entre dos electrodos sumergidos en un electrolito, lo que promueve el transporte iónico y la transferencia de carga en las interfaces electrodo-electrolito, propiciando la descomposición de un compuesto en especies más simples [12]. En la electrólisis del agua, al aplicar un voltaje en corriente continua, se impulsa la disociación del agua (</w:t>
      </w:r>
      <m:oMath>
        <m:sSub>
          <m:sSubPr>
            <m:ctrlPr>
              <w:rPr>
                <w:rFonts w:ascii="Cambria Math" w:hAnsi="Cambria Math"/>
              </w:rPr>
            </m:ctrlPr>
          </m:sSubPr>
          <m:e>
            <m:r>
              <w:rPr>
                <w:rFonts w:ascii="Cambria Math" w:hAnsi="Cambria Math"/>
              </w:rPr>
              <m:t>H</m:t>
            </m:r>
          </m:e>
          <m:sub>
            <m:r>
              <w:rPr>
                <w:rFonts w:ascii="Cambria Math" w:hAnsi="Cambria Math"/>
              </w:rPr>
              <m:t>2</m:t>
            </m:r>
          </m:sub>
        </m:sSub>
        <m:r>
          <w:rPr>
            <w:rFonts w:ascii="Cambria Math" w:hAnsi="Cambria Math"/>
          </w:rPr>
          <m:t>O</m:t>
        </m:r>
      </m:oMath>
      <w:r>
        <w:t>) en hidrógeno (</w:t>
      </w:r>
      <m:oMath>
        <m:sSub>
          <m:sSubPr>
            <m:ctrlPr>
              <w:rPr>
                <w:rFonts w:ascii="Cambria Math" w:hAnsi="Cambria Math"/>
              </w:rPr>
            </m:ctrlPr>
          </m:sSubPr>
          <m:e>
            <m:r>
              <w:rPr>
                <w:rFonts w:ascii="Cambria Math" w:hAnsi="Cambria Math"/>
              </w:rPr>
              <m:t>H</m:t>
            </m:r>
          </m:e>
          <m:sub>
            <m:r>
              <w:rPr>
                <w:rFonts w:ascii="Cambria Math" w:hAnsi="Cambria Math"/>
              </w:rPr>
              <m:t>2</m:t>
            </m:r>
          </m:sub>
        </m:sSub>
      </m:oMath>
      <w:r>
        <w:t>) y oxígeno (</w:t>
      </w:r>
      <m:oMath>
        <m:sSub>
          <m:sSubPr>
            <m:ctrlPr>
              <w:rPr>
                <w:rFonts w:ascii="Cambria Math" w:hAnsi="Cambria Math"/>
              </w:rPr>
            </m:ctrlPr>
          </m:sSubPr>
          <m:e>
            <m:r>
              <w:rPr>
                <w:rFonts w:ascii="Cambria Math" w:hAnsi="Cambria Math"/>
              </w:rPr>
              <m:t>O</m:t>
            </m:r>
          </m:e>
          <m:sub>
            <m:r>
              <w:rPr>
                <w:rFonts w:ascii="Cambria Math" w:hAnsi="Cambria Math"/>
              </w:rPr>
              <m:t>2</m:t>
            </m:r>
          </m:sub>
        </m:sSub>
      </m:oMath>
      <w:r>
        <w:t>), los cuales se liberan en forma gaseosa [13].</w:t>
      </w:r>
    </w:p>
    <w:p w14:paraId="3C0A3A43" w14:textId="77777777" w:rsidR="00AD434F" w:rsidRDefault="00000000">
      <w:pPr>
        <w:pStyle w:val="Textoindependiente"/>
      </w:pPr>
      <w:r>
        <w:t>La reacción global de la electrólisis del agua puede representarse como Ecuación 1:</w:t>
      </w:r>
    </w:p>
    <w:p w14:paraId="3C0A3A44" w14:textId="77777777" w:rsidR="00AD434F" w:rsidRDefault="00000000">
      <w:pPr>
        <w:pStyle w:val="Textoindependiente"/>
      </w:pPr>
      <w:bookmarkStart w:id="1" w:name="eq:h2o"/>
      <m:oMathPara>
        <m:oMathParaPr>
          <m:jc m:val="center"/>
        </m:oMathParaPr>
        <m:oMath>
          <m:r>
            <m:rPr>
              <m:sty m:val="p"/>
            </m:rPr>
            <w:rPr>
              <w:rFonts w:ascii="Cambria Math" w:hAnsi="Cambria Math"/>
            </w:rPr>
            <m:t>2</m:t>
          </m:r>
          <m:sSub>
            <m:sSubPr>
              <m:ctrlPr>
                <w:rPr>
                  <w:rFonts w:ascii="Cambria Math" w:hAnsi="Cambria Math"/>
                </w:rPr>
              </m:ctrlPr>
            </m:sSubPr>
            <m:e>
              <m:r>
                <m:rPr>
                  <m:sty m:val="p"/>
                </m:rPr>
                <w:rPr>
                  <w:rFonts w:ascii="Cambria Math" w:hAnsi="Cambria Math"/>
                </w:rPr>
                <m:t>H</m:t>
              </m:r>
            </m:e>
            <m:sub>
              <m:r>
                <m:rPr>
                  <m:sty m:val="p"/>
                </m:rPr>
                <w:rPr>
                  <w:rFonts w:ascii="Cambria Math" w:hAnsi="Cambria Math"/>
                </w:rPr>
                <m:t>2</m:t>
              </m:r>
            </m:sub>
          </m:sSub>
          <m:r>
            <m:rPr>
              <m:sty m:val="p"/>
            </m:rPr>
            <w:rPr>
              <w:rFonts w:ascii="Cambria Math" w:hAnsi="Cambria Math"/>
            </w:rPr>
            <m:t>O→2</m:t>
          </m:r>
          <m:sSub>
            <m:sSubPr>
              <m:ctrlPr>
                <w:rPr>
                  <w:rFonts w:ascii="Cambria Math" w:hAnsi="Cambria Math"/>
                </w:rPr>
              </m:ctrlPr>
            </m:sSubPr>
            <m:e>
              <m:r>
                <m:rPr>
                  <m:sty m:val="p"/>
                </m:rPr>
                <w:rPr>
                  <w:rFonts w:ascii="Cambria Math" w:hAnsi="Cambria Math"/>
                </w:rPr>
                <m:t>H</m:t>
              </m:r>
            </m:e>
            <m:sub>
              <m:r>
                <m:rPr>
                  <m:sty m:val="p"/>
                </m:rPr>
                <w:rPr>
                  <w:rFonts w:ascii="Cambria Math" w:hAnsi="Cambria Math"/>
                </w:rPr>
                <m:t>2</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O</m:t>
              </m:r>
            </m:e>
            <m:sub>
              <m:r>
                <m:rPr>
                  <m:sty m:val="p"/>
                </m:rPr>
                <w:rPr>
                  <w:rFonts w:ascii="Cambria Math" w:hAnsi="Cambria Math"/>
                </w:rPr>
                <m:t>2</m:t>
              </m:r>
            </m:sub>
          </m:sSub>
          <m:r>
            <w:rPr>
              <w:rFonts w:ascii="Cambria Math" w:hAnsi="Cambria Math"/>
            </w:rPr>
            <m:t>  </m:t>
          </m:r>
          <m:r>
            <m:rPr>
              <m:sty m:val="p"/>
            </m:rPr>
            <w:rPr>
              <w:rFonts w:ascii="Cambria Math" w:hAnsi="Cambria Math"/>
            </w:rPr>
            <m:t>(</m:t>
          </m:r>
          <m:r>
            <w:rPr>
              <w:rFonts w:ascii="Cambria Math" w:hAnsi="Cambria Math"/>
            </w:rPr>
            <m:t>1</m:t>
          </m:r>
          <m:r>
            <m:rPr>
              <m:sty m:val="p"/>
            </m:rPr>
            <w:rPr>
              <w:rFonts w:ascii="Cambria Math" w:hAnsi="Cambria Math"/>
            </w:rPr>
            <m:t>)</m:t>
          </m:r>
        </m:oMath>
      </m:oMathPara>
      <w:bookmarkEnd w:id="1"/>
    </w:p>
    <w:p w14:paraId="3C0A3A45" w14:textId="77777777" w:rsidR="00AD434F" w:rsidRDefault="00000000">
      <w:pPr>
        <w:pStyle w:val="FirstParagraph"/>
      </w:pPr>
      <w:r>
        <w:t>En general, el proceso se lleva a cabo mediante sistemas denominados electrolizadores. Sus componentes principales son: la fuente de alimentación, los electrodos y el electrolito [14]. En particular, una de las tecnologías más utilizadas para la electrólisis del agua es la electrólisis alcalina. Esta tecnología es una de las más implementadas a escala industrial debido a su robustez, bajo costo y durabilidad, aunque presenta limitaciones en términos de densidad de corriente y de respuesta dinámica frente a cambios rápidos en la operación [15].</w:t>
      </w:r>
    </w:p>
    <w:p w14:paraId="3C0A3A46" w14:textId="77777777" w:rsidR="00AD434F" w:rsidRDefault="00000000">
      <w:pPr>
        <w:pStyle w:val="Textoindependiente"/>
      </w:pPr>
      <w:r>
        <w:lastRenderedPageBreak/>
        <w:t>En ese sentido, investigaciones recientes se han enfocado en mejorar la eficiencia y la estabilidad de los electrolizadores mediante el desarrollo de nuevos materiales y recubrimientos que reduzcan la degradación de los electrodos y favorezcan la cinética de reacción en las interfaces electrodo-electrolito [19]. De forma complementaria, se han explorado ajustes en la composición y la concentración del electrolito con el objetivo de incrementar la conductividad iónica del medio y, con ello, disminuir las pérdidas óhmicas durante la operación [14].</w:t>
      </w:r>
    </w:p>
    <w:p w14:paraId="3C0A3A47" w14:textId="77777777" w:rsidR="00AD434F" w:rsidRDefault="00000000">
      <w:pPr>
        <w:pStyle w:val="Textoindependiente"/>
      </w:pPr>
      <w:r>
        <w:t>Con la intención de evaluar el comportamiento global de estos sistemas electroquímicos, se emplean comúnmente curvas de polarización. Las curvas describen la relación entre la potencia de la celda y la densidad de corriente [15]. En consecuencia, las contribuciones óhmicas (resistencia del electrolito, contactos e interconexiones) se manifiestan típicamente como un término aproximadamente lineal con la densidad de corriente, mientras que las pérdidas asociadas a la activación electroquímica se relacionan con los sobrepotenciales, cuya dependencia puede aproximarse mediante la ecuación de Tafel en ciertos rangos de operación [10]. En consecuencia, el análisis de las curvas de polarización permite identificar y estimar la contribución óhmica y distinguirla de las pérdidas asociadas a sobrepotenciales y, cuando aplica, a las limitaciones de transporte de masa.</w:t>
      </w:r>
    </w:p>
    <w:p w14:paraId="3C0A3A48" w14:textId="77777777" w:rsidR="00AD434F" w:rsidRDefault="00000000">
      <w:pPr>
        <w:pStyle w:val="Textoindependiente"/>
      </w:pPr>
      <w:r>
        <w:t>La reducción de la resistencia óhmica es fundamental para operar a mayores densidades de corriente y mejorar el desempeño global del electrolizador [20]. Diversos estudios han reportado que esta resistencia puede incrementarse por múltiples factores, entre ellos la formación de nanoburbujas en las interfaces electrodo–electrolito, el uso de distintos materiales y acabados superficiales que modifican la resistencia de contacto, así como variaciones en el nivel de compresión del ensamble, que afectan directamente la resistencia interfacial [24].</w:t>
      </w:r>
    </w:p>
    <w:p w14:paraId="3C0A3A49" w14:textId="77777777" w:rsidR="00AD434F" w:rsidRDefault="00000000">
      <w:pPr>
        <w:pStyle w:val="Textoindependiente"/>
      </w:pPr>
      <w:r>
        <w:t xml:space="preserve">La mayoría de los trabajos reportados en la literatura emplean técnicas como la </w:t>
      </w:r>
      <w:r>
        <w:rPr>
          <w:i/>
          <w:iCs/>
        </w:rPr>
        <w:t>Espectroscopia de Impedancia Eléctrica (EIS)</w:t>
      </w:r>
      <w:r>
        <w:t xml:space="preserve"> para evaluar el estado interno de sistemas electroquímicos [28]. No obstante, este tipo de análisis suele realizarse en condiciones cuidadosamente controladas y, con frecuencia, fuera del régimen operativo típico, lo que limita su uso para el monitoreo en línea durante la operación continua. Si bien la EIS permite descomponer con alta resolución la contribución de diferentes procesos (resistencia óhmica, transferencia de carga y fenómenos difusivos), su instrumentación, los requerimientos de excitación y el procesamiento hacen que su implementación en tiempo real siga siendo compleja y poco práctica en numerosos entornos industriales o de laboratorio aplicados.</w:t>
      </w:r>
    </w:p>
    <w:p w14:paraId="3C0A3A4A" w14:textId="77777777" w:rsidR="00AD434F" w:rsidRDefault="00000000">
      <w:pPr>
        <w:pStyle w:val="Textoindependiente"/>
      </w:pPr>
      <w:r>
        <w:t xml:space="preserve">En este contexto, el presente trabajo propone un enfoque más directo y operativamente viable, basado en el monitoreo eléctrico continuo de variables fundamentales del sistema, específicamente </w:t>
      </w:r>
      <w:r>
        <w:rPr>
          <w:b/>
          <w:bCs/>
        </w:rPr>
        <w:t>voltaje</w:t>
      </w:r>
      <w:r>
        <w:t xml:space="preserve"> y </w:t>
      </w:r>
      <w:r>
        <w:rPr>
          <w:b/>
          <w:bCs/>
        </w:rPr>
        <w:t>corriente</w:t>
      </w:r>
      <w:r>
        <w:t>, durante su operación activa. En esta etapa preliminar, las mediciones se realizan con instrumentación de alta resolución, lo que permite registrar con confiabilidad la respuesta del electrolizador ante diferentes condiciones de excitación y evaluar su comportamiento en el dominio del tiempo, sin requerir procedimientos de caracterización especializados como los asociados a la EIS.</w:t>
      </w:r>
    </w:p>
    <w:p w14:paraId="3C0A3A4B" w14:textId="77777777" w:rsidR="00AD434F" w:rsidRDefault="00000000">
      <w:pPr>
        <w:pStyle w:val="Textoindependiente"/>
      </w:pPr>
      <w:r>
        <w:t>A diferencia de enfoques que analizan de manera aislada variables o subcomponentes, en este estudio se plantea una perspectiva integrada del sistema basada en un esquema de monitoreo eléctrico unificado, con el fin de obtener una descripción consistente del comportamiento global del electrolizador durante la operación. Esta aproximación busca no solo facilitar el diagnóstico del sistema, sino también sentar las bases para el desarrollo de futuras estrategias de control adaptativo y de optimización energética.</w:t>
      </w:r>
    </w:p>
    <w:p w14:paraId="3C0A3A4C" w14:textId="77777777" w:rsidR="00AD434F" w:rsidRDefault="00000000">
      <w:pPr>
        <w:pStyle w:val="Ttulo1"/>
      </w:pPr>
      <w:bookmarkStart w:id="2" w:name="material-y-métodos"/>
      <w:bookmarkEnd w:id="0"/>
      <w:r>
        <w:t>2. Material y Métodos</w:t>
      </w:r>
    </w:p>
    <w:p w14:paraId="3C0A3A4D" w14:textId="77777777" w:rsidR="00AD434F" w:rsidRDefault="00000000">
      <w:pPr>
        <w:pStyle w:val="FirstParagraph"/>
      </w:pPr>
      <w:r>
        <w:t>Para obtener las curvas de polarización, se construyó un electrolizador alcalino de laboratorio con electrodos de acero inoxidable (AISI 304) y electrolito acuoso de hidróxido de sodio (</w:t>
      </w:r>
      <m:oMath>
        <m:r>
          <w:rPr>
            <w:rFonts w:ascii="Cambria Math" w:hAnsi="Cambria Math"/>
          </w:rPr>
          <m:t>NaOH</m:t>
        </m:r>
      </m:oMath>
      <w:r>
        <w:t>, 1 M). La celda fue instrumentada con una fuente DC programable y equipos de medición de alta resolución para el registro simultáneo de la tensión y la corriente. La comunicación y el control de los instrumentos se realizaron mediante el protocolo VISA (comandos SCPI), con el fin de automatizar la secuencia experimental y reducir la variabilidad asociada a la operación manual.</w:t>
      </w:r>
    </w:p>
    <w:p w14:paraId="3C0A3A4E" w14:textId="77777777" w:rsidR="00AD434F" w:rsidRDefault="00000000">
      <w:pPr>
        <w:pStyle w:val="Textoindependiente"/>
      </w:pPr>
      <w:r>
        <w:t>Con el objetivo de garantizar la reproducibilidad, se desarrolló una interfaz gráfica en Python para: (i) configurar los puntos de prueba del barrido, (ii) adquirir y almacenar las variables eléctricas de manera automática y sistemática, y (iii) generar las curvas de tensión–corriente del sistema. Adicionalmente, se incorporó un sensor PT1000 para medir la temperatura del electrolito en su conjunto durante las caracterizaciones.</w:t>
      </w:r>
    </w:p>
    <w:p w14:paraId="3C0A3A4F" w14:textId="77777777" w:rsidR="00AD434F" w:rsidRDefault="00000000">
      <w:pPr>
        <w:pStyle w:val="Textoindependiente"/>
      </w:pPr>
      <w:r>
        <w:t>El diseño experimental consistió en dos pruebas independientes; en cada una se realizaron cuatro rondas consecutivas de caracterización, manteniendo el mismo par de electrodos y el mismo electrolito para evaluar los cambios derivados del uso. A partir de los datos adquiridos, se calcularon parámetros eléctricos de interés asociados a la curva de polarización, incluida la resistencia instantánea en cada punto, a partir de las mediciones de tensión y corriente.</w:t>
      </w:r>
    </w:p>
    <w:p w14:paraId="3C0A3A50" w14:textId="77777777" w:rsidR="00AD434F" w:rsidRDefault="00000000">
      <w:pPr>
        <w:pStyle w:val="Textoindependiente"/>
      </w:pPr>
      <w:r>
        <w:t>La Figura 1 muestra el diagrama general de la metodología empleada en el presente trabajo.</w:t>
      </w:r>
    </w:p>
    <w:p w14:paraId="3C0A3A51" w14:textId="77777777" w:rsidR="00AD434F" w:rsidRDefault="00000000">
      <w:pPr>
        <w:pStyle w:val="CaptionedFigure"/>
      </w:pPr>
      <w:bookmarkStart w:id="3" w:name="fig:Met_gral"/>
      <w:r>
        <w:lastRenderedPageBreak/>
        <w:drawing>
          <wp:inline distT="0" distB="0" distL="0" distR="0" wp14:anchorId="3C0A3B23" wp14:editId="3C0A3B24">
            <wp:extent cx="5349240" cy="4017541"/>
            <wp:effectExtent l="0" t="0" r="0" b="0"/>
            <wp:docPr id="25" name="Picture" descr="Figura 1: Diagrama general de la metodología para la caracterización del sistema."/>
            <wp:cNvGraphicFramePr/>
            <a:graphic xmlns:a="http://schemas.openxmlformats.org/drawingml/2006/main">
              <a:graphicData uri="http://schemas.openxmlformats.org/drawingml/2006/picture">
                <pic:pic xmlns:pic="http://schemas.openxmlformats.org/drawingml/2006/picture">
                  <pic:nvPicPr>
                    <pic:cNvPr id="26" name="Picture" descr="figures/Metod_V01.png"/>
                    <pic:cNvPicPr>
                      <a:picLocks noChangeAspect="1" noChangeArrowheads="1"/>
                    </pic:cNvPicPr>
                  </pic:nvPicPr>
                  <pic:blipFill>
                    <a:blip r:embed="rId5"/>
                    <a:stretch>
                      <a:fillRect/>
                    </a:stretch>
                  </pic:blipFill>
                  <pic:spPr bwMode="auto">
                    <a:xfrm>
                      <a:off x="0" y="0"/>
                      <a:ext cx="5349240" cy="4017541"/>
                    </a:xfrm>
                    <a:prstGeom prst="rect">
                      <a:avLst/>
                    </a:prstGeom>
                    <a:noFill/>
                    <a:ln w="9525">
                      <a:noFill/>
                      <a:headEnd/>
                      <a:tailEnd/>
                    </a:ln>
                  </pic:spPr>
                </pic:pic>
              </a:graphicData>
            </a:graphic>
          </wp:inline>
        </w:drawing>
      </w:r>
    </w:p>
    <w:p w14:paraId="3C0A3A52" w14:textId="77777777" w:rsidR="00AD434F" w:rsidRDefault="00000000">
      <w:pPr>
        <w:pStyle w:val="ImageCaption"/>
      </w:pPr>
      <w:r>
        <w:t>Figura 1: Diagrama general de la metodología para la caracterización del sistema.</w:t>
      </w:r>
    </w:p>
    <w:p w14:paraId="3C0A3A53" w14:textId="77777777" w:rsidR="00AD434F" w:rsidRDefault="00000000">
      <w:pPr>
        <w:pStyle w:val="Ttulo2"/>
      </w:pPr>
      <w:bookmarkStart w:id="4" w:name="electrolizador"/>
      <w:bookmarkEnd w:id="3"/>
      <w:r>
        <w:t>2.1 Electrolizador</w:t>
      </w:r>
    </w:p>
    <w:p w14:paraId="3C0A3A54" w14:textId="77777777" w:rsidR="00AD434F" w:rsidRDefault="00000000">
      <w:pPr>
        <w:pStyle w:val="FirstParagraph"/>
      </w:pPr>
      <w:r>
        <w:t>Desde la perspectiva de la identificación de sistemas, el electrolizador empleado se modela como una planta experimental integrada por tres elementos principales: electrodos, electrolito y carcasa. Los electrodos constituyen la interfaz electroquímica responsable de inyectar corriente al electrolito para inducir la electrólisis; debido a su exposición directa al medio alcalino y a las reacciones en la interfaz, es indispensable emplear materiales con alta resistencia a la corrosión para preservar condiciones de operación estables.</w:t>
      </w:r>
    </w:p>
    <w:p w14:paraId="3C0A3A55" w14:textId="77777777" w:rsidR="00AD434F" w:rsidRDefault="00000000">
      <w:pPr>
        <w:pStyle w:val="Textoindependiente"/>
      </w:pPr>
      <w:r>
        <w:t xml:space="preserve">En este trabajo se utilizan electrodos de acero inoxidable 304, calibre 22, con un espesor aproximado de </w:t>
      </w:r>
      <m:oMath>
        <m:r>
          <w:rPr>
            <w:rFonts w:ascii="Cambria Math" w:hAnsi="Cambria Math"/>
          </w:rPr>
          <m:t>0.740mm</m:t>
        </m:r>
      </m:oMath>
      <w:r>
        <w:t xml:space="preserve">. Cada electrodo presenta un área expuesta de </w:t>
      </w:r>
      <m:oMath>
        <m:r>
          <w:rPr>
            <w:rFonts w:ascii="Cambria Math" w:hAnsi="Cambria Math"/>
          </w:rPr>
          <m:t>90m</m:t>
        </m:r>
        <m:sSup>
          <m:sSupPr>
            <m:ctrlPr>
              <w:rPr>
                <w:rFonts w:ascii="Cambria Math" w:hAnsi="Cambria Math"/>
              </w:rPr>
            </m:ctrlPr>
          </m:sSupPr>
          <m:e>
            <m:r>
              <w:rPr>
                <w:rFonts w:ascii="Cambria Math" w:hAnsi="Cambria Math"/>
              </w:rPr>
              <m:t>m</m:t>
            </m:r>
          </m:e>
          <m:sup>
            <m:r>
              <w:rPr>
                <w:rFonts w:ascii="Cambria Math" w:hAnsi="Cambria Math"/>
              </w:rPr>
              <m:t>2</m:t>
            </m:r>
          </m:sup>
        </m:sSup>
      </m:oMath>
      <w:r>
        <w:t xml:space="preserve"> y dimensiones totales de </w:t>
      </w:r>
      <m:oMath>
        <m:r>
          <w:rPr>
            <w:rFonts w:ascii="Cambria Math" w:hAnsi="Cambria Math"/>
          </w:rPr>
          <m:t>20</m:t>
        </m:r>
        <m:r>
          <m:rPr>
            <m:sty m:val="p"/>
          </m:rPr>
          <w:rPr>
            <w:rFonts w:ascii="Cambria Math" w:hAnsi="Cambria Math"/>
          </w:rPr>
          <m:t>×</m:t>
        </m:r>
        <m:r>
          <w:rPr>
            <w:rFonts w:ascii="Cambria Math" w:hAnsi="Cambria Math"/>
          </w:rPr>
          <m:t>93mm</m:t>
        </m:r>
      </m:oMath>
      <w:r>
        <w:t>, definidas por el diseño de la carcasa del sistema.</w:t>
      </w:r>
    </w:p>
    <w:p w14:paraId="3C0A3A56" w14:textId="77777777" w:rsidR="00AD434F" w:rsidRDefault="00000000">
      <w:pPr>
        <w:pStyle w:val="Textoindependiente"/>
      </w:pPr>
      <w:r>
        <w:t>El electrolito empleado es una solución acuosa 1 M de hidróxido de sodio (</w:t>
      </w:r>
      <m:oMath>
        <m:r>
          <w:rPr>
            <w:rFonts w:ascii="Cambria Math" w:hAnsi="Cambria Math"/>
          </w:rPr>
          <m:t>NaOH</m:t>
        </m:r>
      </m:oMath>
      <w:r>
        <w:t>) preparada con agua destilada, seleccionada para proporcionar una conductividad iónica suficiente y condiciones alcalinas estables durante las caracterizaciones.</w:t>
      </w:r>
    </w:p>
    <w:p w14:paraId="3C0A3A57" w14:textId="77777777" w:rsidR="00AD434F" w:rsidRDefault="00000000">
      <w:pPr>
        <w:pStyle w:val="Textoindependiente"/>
      </w:pPr>
      <w:r>
        <w:t>Por su parte, la carcasa del sistema está integrada por un recipiente de vidrio y una tapa impresa en 3D fabricada en polipropileno (PP), con el propósito de asegurar compatibilidad química con el medio alcalino y minimizar procesos de corrosión o degradación de materiales estructurales. Esta configuración contribuye a mantener una operación segura y reproducible del electrolizador, evitando contaminaciones y cambios no deseados en el entorno electroquímico durante los ensayos.</w:t>
      </w:r>
    </w:p>
    <w:p w14:paraId="3C0A3A58" w14:textId="77777777" w:rsidR="00AD434F" w:rsidRDefault="00000000">
      <w:pPr>
        <w:pStyle w:val="Ttulo2"/>
      </w:pPr>
      <w:bookmarkStart w:id="5" w:name="instrumentos-de-medición"/>
      <w:bookmarkEnd w:id="4"/>
      <w:r>
        <w:t>2.2 Instrumentos de Medición</w:t>
      </w:r>
    </w:p>
    <w:p w14:paraId="3C0A3A59" w14:textId="77777777" w:rsidR="00AD434F" w:rsidRDefault="00000000">
      <w:pPr>
        <w:pStyle w:val="FirstParagraph"/>
      </w:pPr>
      <w:r>
        <w:t>El sistema fue alimentado mediante una fuente programable de corriente directa (</w:t>
      </w:r>
      <w:r>
        <w:rPr>
          <w:i/>
          <w:iCs/>
        </w:rPr>
        <w:t>CD</w:t>
      </w:r>
      <w:r>
        <w:t xml:space="preserve">) </w:t>
      </w:r>
      <w:r>
        <w:rPr>
          <w:i/>
          <w:iCs/>
        </w:rPr>
        <w:t>Agilent N5770A</w:t>
      </w:r>
      <w:r>
        <w:t xml:space="preserve">, con una capacidad máxima de suministro de potencia de </w:t>
      </w:r>
      <m:oMath>
        <m:r>
          <w:rPr>
            <w:rFonts w:ascii="Cambria Math" w:hAnsi="Cambria Math"/>
          </w:rPr>
          <m:t>1500W</m:t>
        </m:r>
      </m:oMath>
      <w:r>
        <w:t xml:space="preserve">. El voltaje entre el ánodo y el cátodo se midió con un multímetro de alta precisión </w:t>
      </w:r>
      <w:r>
        <w:rPr>
          <w:i/>
          <w:iCs/>
        </w:rPr>
        <w:t>Picotest M3500A</w:t>
      </w:r>
      <w:r>
        <w:t xml:space="preserve">, que cuenta con una resolución de </w:t>
      </w:r>
      <m:oMath>
        <m:r>
          <w:rPr>
            <w:rFonts w:ascii="Cambria Math" w:hAnsi="Cambria Math"/>
          </w:rPr>
          <m:t>10µV</m:t>
        </m:r>
      </m:oMath>
      <w:r>
        <w:t xml:space="preserve"> (</w:t>
      </w:r>
      <m:oMath>
        <m:r>
          <w:rPr>
            <w:rFonts w:ascii="Cambria Math" w:hAnsi="Cambria Math"/>
          </w:rPr>
          <m:t>10</m:t>
        </m:r>
        <m:r>
          <m:rPr>
            <m:sty m:val="p"/>
          </m:rPr>
          <w:rPr>
            <w:rFonts w:ascii="Cambria Math" w:hAnsi="Cambria Math"/>
          </w:rPr>
          <m:t>×</m:t>
        </m:r>
        <m:sSup>
          <m:sSupPr>
            <m:ctrlPr>
              <w:rPr>
                <w:rFonts w:ascii="Cambria Math" w:hAnsi="Cambria Math"/>
              </w:rPr>
            </m:ctrlPr>
          </m:sSupPr>
          <m:e>
            <m:r>
              <w:rPr>
                <w:rFonts w:ascii="Cambria Math" w:hAnsi="Cambria Math"/>
              </w:rPr>
              <m:t>10</m:t>
            </m:r>
          </m:e>
          <m:sup>
            <m:r>
              <m:rPr>
                <m:sty m:val="p"/>
              </m:rPr>
              <w:rPr>
                <w:rFonts w:ascii="Cambria Math" w:hAnsi="Cambria Math"/>
              </w:rPr>
              <m:t>-</m:t>
            </m:r>
            <m:r>
              <w:rPr>
                <w:rFonts w:ascii="Cambria Math" w:hAnsi="Cambria Math"/>
              </w:rPr>
              <m:t>5</m:t>
            </m:r>
          </m:sup>
        </m:sSup>
      </m:oMath>
      <w:r>
        <w:t xml:space="preserve">). Mientras que la corriente que circula se mide con un multímetro </w:t>
      </w:r>
      <w:r>
        <w:rPr>
          <w:i/>
          <w:iCs/>
        </w:rPr>
        <w:t>Tektronix DMM4040</w:t>
      </w:r>
      <w:r>
        <w:t xml:space="preserve">, con una resolución de </w:t>
      </w:r>
      <m:oMath>
        <m:r>
          <w:rPr>
            <w:rFonts w:ascii="Cambria Math" w:hAnsi="Cambria Math"/>
          </w:rPr>
          <m:t>100pA</m:t>
        </m:r>
      </m:oMath>
      <w:r>
        <w:t xml:space="preserve"> (</w:t>
      </w:r>
      <m:oMath>
        <m:r>
          <w:rPr>
            <w:rFonts w:ascii="Cambria Math" w:hAnsi="Cambria Math"/>
          </w:rPr>
          <m:t>1</m:t>
        </m:r>
        <m:r>
          <m:rPr>
            <m:sty m:val="p"/>
          </m:rPr>
          <w:rPr>
            <w:rFonts w:ascii="Cambria Math" w:hAnsi="Cambria Math"/>
          </w:rPr>
          <m:t>×</m:t>
        </m:r>
        <m:sSup>
          <m:sSupPr>
            <m:ctrlPr>
              <w:rPr>
                <w:rFonts w:ascii="Cambria Math" w:hAnsi="Cambria Math"/>
              </w:rPr>
            </m:ctrlPr>
          </m:sSupPr>
          <m:e>
            <m:r>
              <w:rPr>
                <w:rFonts w:ascii="Cambria Math" w:hAnsi="Cambria Math"/>
              </w:rPr>
              <m:t>10</m:t>
            </m:r>
          </m:e>
          <m:sup>
            <m:r>
              <m:rPr>
                <m:sty m:val="p"/>
              </m:rPr>
              <w:rPr>
                <w:rFonts w:ascii="Cambria Math" w:hAnsi="Cambria Math"/>
              </w:rPr>
              <m:t>-</m:t>
            </m:r>
            <m:r>
              <w:rPr>
                <w:rFonts w:ascii="Cambria Math" w:hAnsi="Cambria Math"/>
              </w:rPr>
              <m:t>10</m:t>
            </m:r>
          </m:sup>
        </m:sSup>
      </m:oMath>
      <w:r>
        <w:t>).</w:t>
      </w:r>
    </w:p>
    <w:p w14:paraId="3C0A3A5A" w14:textId="77777777" w:rsidR="00AD434F" w:rsidRDefault="00000000">
      <w:pPr>
        <w:pStyle w:val="Textoindependiente"/>
      </w:pPr>
      <w:r>
        <w:t>Ambos dispositivos presentan una resolución global de pantalla de 6½ dígitos. La Figura 2 muestra el diagrama de conexión de los instrumentos empleados en el sistema de medición.</w:t>
      </w:r>
    </w:p>
    <w:p w14:paraId="3C0A3A5B" w14:textId="77777777" w:rsidR="00AD434F" w:rsidRDefault="00000000">
      <w:pPr>
        <w:pStyle w:val="CaptionedFigure"/>
      </w:pPr>
      <w:bookmarkStart w:id="6" w:name="fig:conex_inst"/>
      <w:r>
        <w:lastRenderedPageBreak/>
        <w:drawing>
          <wp:inline distT="0" distB="0" distL="0" distR="0" wp14:anchorId="3C0A3B25" wp14:editId="3C0A3B26">
            <wp:extent cx="2080260" cy="2135390"/>
            <wp:effectExtent l="0" t="0" r="0" b="0"/>
            <wp:docPr id="30" name="Picture" descr="Figura 2: Diagrama de conexión de los instrumentos de medición."/>
            <wp:cNvGraphicFramePr/>
            <a:graphic xmlns:a="http://schemas.openxmlformats.org/drawingml/2006/main">
              <a:graphicData uri="http://schemas.openxmlformats.org/drawingml/2006/picture">
                <pic:pic xmlns:pic="http://schemas.openxmlformats.org/drawingml/2006/picture">
                  <pic:nvPicPr>
                    <pic:cNvPr id="31" name="Picture" descr="figures/conexion_instrumentos.jpg"/>
                    <pic:cNvPicPr>
                      <a:picLocks noChangeAspect="1" noChangeArrowheads="1"/>
                    </pic:cNvPicPr>
                  </pic:nvPicPr>
                  <pic:blipFill>
                    <a:blip r:embed="rId6"/>
                    <a:stretch>
                      <a:fillRect/>
                    </a:stretch>
                  </pic:blipFill>
                  <pic:spPr bwMode="auto">
                    <a:xfrm>
                      <a:off x="0" y="0"/>
                      <a:ext cx="2080260" cy="2135390"/>
                    </a:xfrm>
                    <a:prstGeom prst="rect">
                      <a:avLst/>
                    </a:prstGeom>
                    <a:noFill/>
                    <a:ln w="9525">
                      <a:noFill/>
                      <a:headEnd/>
                      <a:tailEnd/>
                    </a:ln>
                  </pic:spPr>
                </pic:pic>
              </a:graphicData>
            </a:graphic>
          </wp:inline>
        </w:drawing>
      </w:r>
    </w:p>
    <w:p w14:paraId="3C0A3A5C" w14:textId="77777777" w:rsidR="00AD434F" w:rsidRDefault="00000000">
      <w:pPr>
        <w:pStyle w:val="ImageCaption"/>
      </w:pPr>
      <w:r>
        <w:t>Figura 2: Diagrama de conexión de los instrumentos de medición.</w:t>
      </w:r>
    </w:p>
    <w:p w14:paraId="3C0A3A5D" w14:textId="77777777" w:rsidR="00AD434F" w:rsidRDefault="00000000">
      <w:pPr>
        <w:pStyle w:val="Ttulo2"/>
      </w:pPr>
      <w:bookmarkStart w:id="7" w:name="adquisición-de-datos"/>
      <w:bookmarkEnd w:id="5"/>
      <w:bookmarkEnd w:id="6"/>
      <w:r>
        <w:t>2.3 Adquisición de Datos</w:t>
      </w:r>
    </w:p>
    <w:p w14:paraId="3C0A3A5E" w14:textId="77777777" w:rsidR="00AD434F" w:rsidRDefault="00000000">
      <w:pPr>
        <w:pStyle w:val="FirstParagraph"/>
      </w:pPr>
      <w:r>
        <w:t xml:space="preserve">Los instrumentos de medición empleados utilizan el protocolo </w:t>
      </w:r>
      <w:r>
        <w:rPr>
          <w:i/>
          <w:iCs/>
        </w:rPr>
        <w:t>VISA</w:t>
      </w:r>
      <w:r>
        <w:t xml:space="preserve"> (</w:t>
      </w:r>
      <w:r>
        <w:rPr>
          <w:i/>
          <w:iCs/>
        </w:rPr>
        <w:t>Virtual Instrument Software Architecture</w:t>
      </w:r>
      <w:r>
        <w:t xml:space="preserve">), una </w:t>
      </w:r>
      <w:r>
        <w:rPr>
          <w:i/>
          <w:iCs/>
        </w:rPr>
        <w:t>API</w:t>
      </w:r>
      <w:r>
        <w:t xml:space="preserve"> (</w:t>
      </w:r>
      <w:r>
        <w:rPr>
          <w:i/>
          <w:iCs/>
        </w:rPr>
        <w:t>Interfaz de Programación de Aplicaciones</w:t>
      </w:r>
      <w:r>
        <w:t xml:space="preserve">) estandarizada para la comunicación con equipos de prueba mediante interfaces </w:t>
      </w:r>
      <w:r>
        <w:rPr>
          <w:i/>
          <w:iCs/>
        </w:rPr>
        <w:t>USB</w:t>
      </w:r>
      <w:r>
        <w:t xml:space="preserve"> y </w:t>
      </w:r>
      <w:r>
        <w:rPr>
          <w:i/>
          <w:iCs/>
        </w:rPr>
        <w:t>RS-232</w:t>
      </w:r>
      <w:r>
        <w:t xml:space="preserve">. Para la gestión de esta comunicación se empleó </w:t>
      </w:r>
      <w:r>
        <w:rPr>
          <w:i/>
          <w:iCs/>
        </w:rPr>
        <w:t>NI-VISA</w:t>
      </w:r>
      <w:r>
        <w:t xml:space="preserve">, mientras que la librería </w:t>
      </w:r>
      <w:r>
        <w:rPr>
          <w:i/>
          <w:iCs/>
        </w:rPr>
        <w:t>PyVISA</w:t>
      </w:r>
      <w:r>
        <w:t xml:space="preserve"> permitió el control de los instrumentos mediante el lenguaje de programación </w:t>
      </w:r>
      <w:r>
        <w:rPr>
          <w:i/>
          <w:iCs/>
        </w:rPr>
        <w:t>Python</w:t>
      </w:r>
      <w:r>
        <w:t xml:space="preserve"> mediante comandos </w:t>
      </w:r>
      <w:r>
        <w:rPr>
          <w:i/>
          <w:iCs/>
        </w:rPr>
        <w:t>SCPI</w:t>
      </w:r>
      <w:r>
        <w:t xml:space="preserve"> (</w:t>
      </w:r>
      <w:r>
        <w:rPr>
          <w:i/>
          <w:iCs/>
        </w:rPr>
        <w:t>Standard Commands for Programmable Instruments</w:t>
      </w:r>
      <w:r>
        <w:t>).</w:t>
      </w:r>
    </w:p>
    <w:p w14:paraId="3C0A3A5F" w14:textId="77777777" w:rsidR="00AD434F" w:rsidRDefault="00000000">
      <w:pPr>
        <w:pStyle w:val="Textoindependiente"/>
      </w:pPr>
      <w:r>
        <w:t>Sobre esta base, se desarrolló una interfaz gráfica que permite visualizar en tiempo real las variables medidas y calcular parámetros derivados, los cuales se registran automáticamente en una tabla para su posterior análisis.</w:t>
      </w:r>
    </w:p>
    <w:p w14:paraId="3C0A3A60" w14:textId="77777777" w:rsidR="00AD434F" w:rsidRDefault="00000000">
      <w:pPr>
        <w:pStyle w:val="Textoindependiente"/>
      </w:pPr>
      <w:r>
        <w:t>Dicha tabla incluye los siguientes campos:</w:t>
      </w:r>
    </w:p>
    <w:p w14:paraId="3C0A3A61" w14:textId="77777777" w:rsidR="00AD434F" w:rsidRDefault="00000000" w:rsidP="001D0583">
      <w:pPr>
        <w:pStyle w:val="Compact"/>
        <w:numPr>
          <w:ilvl w:val="0"/>
          <w:numId w:val="8"/>
        </w:numPr>
        <w:jc w:val="left"/>
      </w:pPr>
      <w:r>
        <w:t>Número de muestra</w:t>
      </w:r>
      <w:r>
        <w:br/>
      </w:r>
    </w:p>
    <w:p w14:paraId="3C0A3A62" w14:textId="77777777" w:rsidR="00AD434F" w:rsidRDefault="00000000" w:rsidP="001D0583">
      <w:pPr>
        <w:pStyle w:val="Compact"/>
        <w:numPr>
          <w:ilvl w:val="0"/>
          <w:numId w:val="8"/>
        </w:numPr>
        <w:jc w:val="left"/>
      </w:pPr>
      <w:r>
        <w:t>Voltaje inyectado</w:t>
      </w:r>
      <w:r>
        <w:br/>
      </w:r>
    </w:p>
    <w:p w14:paraId="3C0A3A63" w14:textId="77777777" w:rsidR="00AD434F" w:rsidRDefault="00000000" w:rsidP="001D0583">
      <w:pPr>
        <w:pStyle w:val="Compact"/>
        <w:numPr>
          <w:ilvl w:val="0"/>
          <w:numId w:val="8"/>
        </w:numPr>
        <w:jc w:val="left"/>
      </w:pPr>
      <w:r>
        <w:t>Voltaje en los electrodos</w:t>
      </w:r>
      <w:r>
        <w:br/>
      </w:r>
    </w:p>
    <w:p w14:paraId="3C0A3A64" w14:textId="77777777" w:rsidR="00AD434F" w:rsidRDefault="00000000" w:rsidP="001D0583">
      <w:pPr>
        <w:pStyle w:val="Compact"/>
        <w:numPr>
          <w:ilvl w:val="0"/>
          <w:numId w:val="8"/>
        </w:numPr>
        <w:jc w:val="left"/>
      </w:pPr>
      <w:r>
        <w:t>Corriente en los electrodos</w:t>
      </w:r>
      <w:r>
        <w:br/>
      </w:r>
    </w:p>
    <w:p w14:paraId="3C0A3A65" w14:textId="77777777" w:rsidR="00AD434F" w:rsidRDefault="00000000" w:rsidP="001D0583">
      <w:pPr>
        <w:pStyle w:val="Compact"/>
        <w:numPr>
          <w:ilvl w:val="0"/>
          <w:numId w:val="8"/>
        </w:numPr>
        <w:jc w:val="left"/>
      </w:pPr>
      <w:r>
        <w:t>Corriente inyectada</w:t>
      </w:r>
      <w:r>
        <w:br/>
      </w:r>
    </w:p>
    <w:p w14:paraId="3C0A3A66" w14:textId="77777777" w:rsidR="00AD434F" w:rsidRDefault="00000000" w:rsidP="001D0583">
      <w:pPr>
        <w:pStyle w:val="Compact"/>
        <w:numPr>
          <w:ilvl w:val="0"/>
          <w:numId w:val="8"/>
        </w:numPr>
        <w:jc w:val="left"/>
      </w:pPr>
      <w:r>
        <w:t>Resistencia eléctrica</w:t>
      </w:r>
      <w:r>
        <w:br/>
      </w:r>
    </w:p>
    <w:p w14:paraId="3C0A3A67" w14:textId="77777777" w:rsidR="00AD434F" w:rsidRDefault="00000000" w:rsidP="001D0583">
      <w:pPr>
        <w:pStyle w:val="Compact"/>
        <w:numPr>
          <w:ilvl w:val="0"/>
          <w:numId w:val="8"/>
        </w:numPr>
        <w:jc w:val="left"/>
      </w:pPr>
      <w:r>
        <w:t>Temperatura</w:t>
      </w:r>
      <w:r>
        <w:br/>
      </w:r>
    </w:p>
    <w:p w14:paraId="3C0A3A68" w14:textId="77777777" w:rsidR="00AD434F" w:rsidRDefault="00000000" w:rsidP="001D0583">
      <w:pPr>
        <w:pStyle w:val="Compact"/>
        <w:numPr>
          <w:ilvl w:val="0"/>
          <w:numId w:val="8"/>
        </w:numPr>
        <w:jc w:val="left"/>
      </w:pPr>
      <w:r>
        <w:t>Observaciones</w:t>
      </w:r>
    </w:p>
    <w:p w14:paraId="3C0A3A69" w14:textId="77777777" w:rsidR="00AD434F" w:rsidRDefault="00000000">
      <w:pPr>
        <w:pStyle w:val="Ttulo2"/>
      </w:pPr>
      <w:bookmarkStart w:id="8" w:name="flujo-de-experimentación"/>
      <w:bookmarkEnd w:id="7"/>
      <w:r>
        <w:t>2.4 Flujo de Experimentación</w:t>
      </w:r>
    </w:p>
    <w:p w14:paraId="3C0A3A6A" w14:textId="77777777" w:rsidR="00AD434F" w:rsidRDefault="00000000">
      <w:pPr>
        <w:pStyle w:val="FirstParagraph"/>
      </w:pPr>
      <w:r>
        <w:t>Para la caracterización del sistema se definió un flujo de trabajo dividido en dos experimentos independientes, ejecutados bajo el mismo procedimiento con el propósito de aproximar condiciones iniciales y de operación equivalentes. No obstante, existen variables externas —principalmente la temperatura ambiente— que no pueden controlarse por completo, por lo que entre experimentos pueden presentarse variaciones térmicas ligeras.</w:t>
      </w:r>
    </w:p>
    <w:p w14:paraId="3C0A3A6B" w14:textId="77777777" w:rsidR="00AD434F" w:rsidRDefault="00000000">
      <w:pPr>
        <w:pStyle w:val="Textoindependiente"/>
      </w:pPr>
      <w:r>
        <w:t>Cada experimento consta de cuatro rondas consecutivas de caracterización. Además de los datos registrados por el sistema de adquisición, se realiza un registro manual en una bitácora de operación para documentar observaciones relevantes antes y después de cada ronda —cambios visibles en el burbujeo, el estado superficial, la coloración del electrolito o incidencias del montaje—. Esta bitácora permite contextualizar los resultados y facilitar la trazabilidad experimental. En particular, la bitácora incluye los siguientes campos:</w:t>
      </w:r>
    </w:p>
    <w:p w14:paraId="3C0A3A6C" w14:textId="77777777" w:rsidR="00AD434F" w:rsidRDefault="00000000" w:rsidP="001D0583">
      <w:pPr>
        <w:pStyle w:val="Compact"/>
        <w:numPr>
          <w:ilvl w:val="0"/>
          <w:numId w:val="9"/>
        </w:numPr>
        <w:jc w:val="left"/>
      </w:pPr>
      <w:r>
        <w:rPr>
          <w:b/>
          <w:bCs/>
        </w:rPr>
        <w:lastRenderedPageBreak/>
        <w:t>Mediciones:</w:t>
      </w:r>
      <w:r>
        <w:t xml:space="preserve"> especifica la forma en la que se inyecta el voltaje en la celda y cómo se realizan las mediciones de voltaje y corriente.</w:t>
      </w:r>
      <w:r>
        <w:br/>
      </w:r>
    </w:p>
    <w:p w14:paraId="3C0A3A6D" w14:textId="77777777" w:rsidR="00AD434F" w:rsidRDefault="00000000" w:rsidP="001D0583">
      <w:pPr>
        <w:pStyle w:val="Compact"/>
        <w:numPr>
          <w:ilvl w:val="0"/>
          <w:numId w:val="9"/>
        </w:numPr>
        <w:jc w:val="left"/>
      </w:pPr>
      <w:r>
        <w:rPr>
          <w:b/>
          <w:bCs/>
        </w:rPr>
        <w:t>Solución (Electrolito):</w:t>
      </w:r>
      <w:r>
        <w:t xml:space="preserve"> incluye la fecha de preparación de la solución, el pH inicial y final, así como la cantidad de electrolito empleada.</w:t>
      </w:r>
      <w:r>
        <w:br/>
      </w:r>
    </w:p>
    <w:p w14:paraId="3C0A3A6E" w14:textId="77777777" w:rsidR="00AD434F" w:rsidRDefault="00000000" w:rsidP="001D0583">
      <w:pPr>
        <w:pStyle w:val="Compact"/>
        <w:numPr>
          <w:ilvl w:val="0"/>
          <w:numId w:val="9"/>
        </w:numPr>
        <w:jc w:val="left"/>
      </w:pPr>
      <w:r>
        <w:rPr>
          <w:b/>
          <w:bCs/>
        </w:rPr>
        <w:t>Electrodos:</w:t>
      </w:r>
      <w:r>
        <w:t xml:space="preserve"> registra la matrícula del ánodo y del cátodo, el número de usos acumulados, el tamaño del electrodo y la superficie sumergida.</w:t>
      </w:r>
      <w:r>
        <w:br/>
      </w:r>
    </w:p>
    <w:p w14:paraId="3C0A3A6F" w14:textId="77777777" w:rsidR="00AD434F" w:rsidRDefault="00000000" w:rsidP="001D0583">
      <w:pPr>
        <w:pStyle w:val="Compact"/>
        <w:numPr>
          <w:ilvl w:val="0"/>
          <w:numId w:val="9"/>
        </w:numPr>
        <w:jc w:val="left"/>
      </w:pPr>
      <w:r>
        <w:rPr>
          <w:b/>
          <w:bCs/>
        </w:rPr>
        <w:t>Observaciones finales de la ronda:</w:t>
      </w:r>
      <w:r>
        <w:t xml:space="preserve"> contiene notas sobre el comportamiento del sistema durante la caracterización.</w:t>
      </w:r>
    </w:p>
    <w:p w14:paraId="3C0A3A70" w14:textId="77777777" w:rsidR="00AD434F" w:rsidRDefault="00000000">
      <w:pPr>
        <w:pStyle w:val="FirstParagraph"/>
      </w:pPr>
      <w:r>
        <w:t>En cada experimento se utiliza el mismo par de electrodos y el mismo electrolito, con el objetivo de observar si el desgaste de estos componentes influye en el comportamiento de las variables eléctricas. Cada ronda sigue el siguiente procedimiento:</w:t>
      </w:r>
    </w:p>
    <w:p w14:paraId="3C0A3A71" w14:textId="77777777" w:rsidR="00AD434F" w:rsidRDefault="00000000" w:rsidP="001D0583">
      <w:pPr>
        <w:pStyle w:val="Compact"/>
        <w:numPr>
          <w:ilvl w:val="0"/>
          <w:numId w:val="10"/>
        </w:numPr>
        <w:jc w:val="left"/>
      </w:pPr>
      <w:r>
        <w:t xml:space="preserve">Se aplican incrementos de </w:t>
      </w:r>
      <m:oMath>
        <m:r>
          <w:rPr>
            <w:rFonts w:ascii="Cambria Math" w:hAnsi="Cambria Math"/>
          </w:rPr>
          <m:t>0.1V</m:t>
        </m:r>
      </m:oMath>
      <w:r>
        <w:t xml:space="preserve"> en la inyección de voltaje a la planta experimental, avanzando de manera progresiva hasta alcanzar el límite de corriente que puede suministrar la fuente de alimentación, que es de </w:t>
      </w:r>
      <m:oMath>
        <m:r>
          <w:rPr>
            <w:rFonts w:ascii="Cambria Math" w:hAnsi="Cambria Math"/>
          </w:rPr>
          <m:t>10.5A</m:t>
        </m:r>
      </m:oMath>
      <w:r>
        <w:t>.</w:t>
      </w:r>
      <w:r>
        <w:br/>
      </w:r>
    </w:p>
    <w:p w14:paraId="3C0A3A72" w14:textId="77777777" w:rsidR="00AD434F" w:rsidRDefault="00000000" w:rsidP="001D0583">
      <w:pPr>
        <w:pStyle w:val="Compact"/>
        <w:numPr>
          <w:ilvl w:val="0"/>
          <w:numId w:val="10"/>
        </w:numPr>
        <w:jc w:val="left"/>
      </w:pPr>
      <w:r>
        <w:t>Se establece un tiempo de espera aproximado de 1 minuto entre cada incremento para permitir la estabilización de las mediciones.</w:t>
      </w:r>
      <w:r>
        <w:br/>
      </w:r>
    </w:p>
    <w:p w14:paraId="3C0A3A73" w14:textId="77777777" w:rsidR="00AD434F" w:rsidRDefault="00000000" w:rsidP="001D0583">
      <w:pPr>
        <w:pStyle w:val="Compact"/>
        <w:numPr>
          <w:ilvl w:val="0"/>
          <w:numId w:val="10"/>
        </w:numPr>
        <w:jc w:val="left"/>
      </w:pPr>
      <w:r>
        <w:t>Para cada punto se obtiene un promedio de cinco muestras por parámetro medido y se registra en la tabla.</w:t>
      </w:r>
    </w:p>
    <w:p w14:paraId="3C0A3A74" w14:textId="77777777" w:rsidR="00AD434F" w:rsidRDefault="00000000" w:rsidP="001D0583">
      <w:pPr>
        <w:pStyle w:val="FirstParagraph"/>
        <w:jc w:val="left"/>
      </w:pPr>
      <w:r>
        <w:t>Una vez concluida cada ronda, se obtiene una tabla de resultados como la mostrada en la Tabla 1.</w:t>
      </w:r>
    </w:p>
    <w:p w14:paraId="3C0A3A75" w14:textId="77777777" w:rsidR="00AD434F" w:rsidRDefault="00000000">
      <w:pPr>
        <w:pStyle w:val="TableCaption"/>
      </w:pPr>
      <w:bookmarkStart w:id="9" w:name="tbl:ejemp_tbl"/>
      <w:r>
        <w:t>Tabla 1: Ejemplo de tabla al finalizar una ronda.</w:t>
      </w:r>
    </w:p>
    <w:tbl>
      <w:tblPr>
        <w:tblStyle w:val="Table"/>
        <w:tblW w:w="9453" w:type="dxa"/>
        <w:tblLook w:val="0020" w:firstRow="1" w:lastRow="0" w:firstColumn="0" w:lastColumn="0" w:noHBand="0" w:noVBand="0"/>
        <w:tblCaption w:val="Tabla 1: Ejemplo de tabla al finalizar una ronda."/>
      </w:tblPr>
      <w:tblGrid>
        <w:gridCol w:w="1866"/>
        <w:gridCol w:w="1279"/>
        <w:gridCol w:w="1416"/>
        <w:gridCol w:w="1517"/>
        <w:gridCol w:w="1382"/>
        <w:gridCol w:w="944"/>
        <w:gridCol w:w="1049"/>
      </w:tblGrid>
      <w:tr w:rsidR="00AD434F" w14:paraId="3C0A3A7D" w14:textId="77777777" w:rsidTr="001D0583">
        <w:trPr>
          <w:cnfStyle w:val="100000000000" w:firstRow="1" w:lastRow="0" w:firstColumn="0" w:lastColumn="0" w:oddVBand="0" w:evenVBand="0" w:oddHBand="0" w:evenHBand="0" w:firstRowFirstColumn="0" w:firstRowLastColumn="0" w:lastRowFirstColumn="0" w:lastRowLastColumn="0"/>
          <w:trHeight w:val="334"/>
          <w:tblHeader/>
        </w:trPr>
        <w:tc>
          <w:tcPr>
            <w:tcW w:w="0" w:type="auto"/>
          </w:tcPr>
          <w:p w14:paraId="3C0A3A76" w14:textId="77777777" w:rsidR="00AD434F" w:rsidRDefault="00000000">
            <w:pPr>
              <w:pStyle w:val="Compact"/>
            </w:pPr>
            <w:r>
              <w:t>No. Muestra</w:t>
            </w:r>
          </w:p>
        </w:tc>
        <w:tc>
          <w:tcPr>
            <w:tcW w:w="0" w:type="auto"/>
          </w:tcPr>
          <w:p w14:paraId="3C0A3A77" w14:textId="77777777" w:rsidR="00AD434F" w:rsidRDefault="00000000">
            <w:pPr>
              <w:pStyle w:val="Compact"/>
            </w:pPr>
            <w:r>
              <w:t>Vol Iny</w:t>
            </w:r>
          </w:p>
        </w:tc>
        <w:tc>
          <w:tcPr>
            <w:tcW w:w="0" w:type="auto"/>
          </w:tcPr>
          <w:p w14:paraId="3C0A3A78" w14:textId="77777777" w:rsidR="00AD434F" w:rsidRDefault="00000000">
            <w:pPr>
              <w:pStyle w:val="Compact"/>
            </w:pPr>
            <w:r>
              <w:t>Vol Elec</w:t>
            </w:r>
          </w:p>
        </w:tc>
        <w:tc>
          <w:tcPr>
            <w:tcW w:w="0" w:type="auto"/>
          </w:tcPr>
          <w:p w14:paraId="3C0A3A79" w14:textId="77777777" w:rsidR="00AD434F" w:rsidRDefault="00000000">
            <w:pPr>
              <w:pStyle w:val="Compact"/>
            </w:pPr>
            <w:r>
              <w:t>Corr Elec</w:t>
            </w:r>
          </w:p>
        </w:tc>
        <w:tc>
          <w:tcPr>
            <w:tcW w:w="0" w:type="auto"/>
          </w:tcPr>
          <w:p w14:paraId="3C0A3A7A" w14:textId="77777777" w:rsidR="00AD434F" w:rsidRDefault="00000000">
            <w:pPr>
              <w:pStyle w:val="Compact"/>
            </w:pPr>
            <w:r>
              <w:t>Corr Iny</w:t>
            </w:r>
          </w:p>
        </w:tc>
        <w:tc>
          <w:tcPr>
            <w:tcW w:w="0" w:type="auto"/>
          </w:tcPr>
          <w:p w14:paraId="3C0A3A7B" w14:textId="77777777" w:rsidR="00AD434F" w:rsidRDefault="00000000">
            <w:pPr>
              <w:pStyle w:val="Compact"/>
            </w:pPr>
            <w:r>
              <w:t>Res</w:t>
            </w:r>
          </w:p>
        </w:tc>
        <w:tc>
          <w:tcPr>
            <w:tcW w:w="0" w:type="auto"/>
          </w:tcPr>
          <w:p w14:paraId="3C0A3A7C" w14:textId="77777777" w:rsidR="00AD434F" w:rsidRDefault="00000000">
            <w:pPr>
              <w:pStyle w:val="Compact"/>
            </w:pPr>
            <w:r>
              <w:t>Temp</w:t>
            </w:r>
          </w:p>
        </w:tc>
      </w:tr>
      <w:tr w:rsidR="00AD434F" w14:paraId="3C0A3A85" w14:textId="77777777" w:rsidTr="001D0583">
        <w:trPr>
          <w:trHeight w:val="323"/>
        </w:trPr>
        <w:tc>
          <w:tcPr>
            <w:tcW w:w="0" w:type="auto"/>
          </w:tcPr>
          <w:p w14:paraId="3C0A3A7E" w14:textId="77777777" w:rsidR="00AD434F" w:rsidRDefault="00000000">
            <w:pPr>
              <w:pStyle w:val="Compact"/>
            </w:pPr>
            <w:r>
              <w:t>1</w:t>
            </w:r>
          </w:p>
        </w:tc>
        <w:tc>
          <w:tcPr>
            <w:tcW w:w="0" w:type="auto"/>
          </w:tcPr>
          <w:p w14:paraId="3C0A3A7F" w14:textId="77777777" w:rsidR="00AD434F" w:rsidRDefault="00000000">
            <w:pPr>
              <w:pStyle w:val="Compact"/>
            </w:pPr>
            <w:r>
              <w:t>2.5 V</w:t>
            </w:r>
          </w:p>
        </w:tc>
        <w:tc>
          <w:tcPr>
            <w:tcW w:w="0" w:type="auto"/>
          </w:tcPr>
          <w:p w14:paraId="3C0A3A80" w14:textId="77777777" w:rsidR="00AD434F" w:rsidRDefault="00000000">
            <w:pPr>
              <w:pStyle w:val="Compact"/>
            </w:pPr>
            <w:r>
              <w:t>2.3 V</w:t>
            </w:r>
          </w:p>
        </w:tc>
        <w:tc>
          <w:tcPr>
            <w:tcW w:w="0" w:type="auto"/>
          </w:tcPr>
          <w:p w14:paraId="3C0A3A81" w14:textId="77777777" w:rsidR="00AD434F" w:rsidRDefault="00000000">
            <w:pPr>
              <w:pStyle w:val="Compact"/>
            </w:pPr>
            <w:r>
              <w:t>0.12 A</w:t>
            </w:r>
          </w:p>
        </w:tc>
        <w:tc>
          <w:tcPr>
            <w:tcW w:w="0" w:type="auto"/>
          </w:tcPr>
          <w:p w14:paraId="3C0A3A82" w14:textId="77777777" w:rsidR="00AD434F" w:rsidRDefault="00000000">
            <w:pPr>
              <w:pStyle w:val="Compact"/>
            </w:pPr>
            <w:r>
              <w:t>0.15 A</w:t>
            </w:r>
          </w:p>
        </w:tc>
        <w:tc>
          <w:tcPr>
            <w:tcW w:w="0" w:type="auto"/>
          </w:tcPr>
          <w:p w14:paraId="3C0A3A83" w14:textId="77777777" w:rsidR="00AD434F" w:rsidRDefault="00000000">
            <w:pPr>
              <w:pStyle w:val="Compact"/>
            </w:pPr>
            <w:r>
              <w:t>20 Ω</w:t>
            </w:r>
          </w:p>
        </w:tc>
        <w:tc>
          <w:tcPr>
            <w:tcW w:w="0" w:type="auto"/>
          </w:tcPr>
          <w:p w14:paraId="3C0A3A84" w14:textId="77777777" w:rsidR="00AD434F" w:rsidRDefault="00000000">
            <w:pPr>
              <w:pStyle w:val="Compact"/>
            </w:pPr>
            <w:r>
              <w:t>25 °C</w:t>
            </w:r>
          </w:p>
        </w:tc>
      </w:tr>
      <w:tr w:rsidR="00AD434F" w14:paraId="3C0A3A8D" w14:textId="77777777" w:rsidTr="001D0583">
        <w:trPr>
          <w:trHeight w:val="334"/>
        </w:trPr>
        <w:tc>
          <w:tcPr>
            <w:tcW w:w="0" w:type="auto"/>
          </w:tcPr>
          <w:p w14:paraId="3C0A3A86" w14:textId="77777777" w:rsidR="00AD434F" w:rsidRDefault="00000000">
            <w:pPr>
              <w:pStyle w:val="Compact"/>
            </w:pPr>
            <w:r>
              <w:t>2</w:t>
            </w:r>
          </w:p>
        </w:tc>
        <w:tc>
          <w:tcPr>
            <w:tcW w:w="0" w:type="auto"/>
          </w:tcPr>
          <w:p w14:paraId="3C0A3A87" w14:textId="77777777" w:rsidR="00AD434F" w:rsidRDefault="00000000">
            <w:pPr>
              <w:pStyle w:val="Compact"/>
            </w:pPr>
            <w:r>
              <w:t>3.0 V</w:t>
            </w:r>
          </w:p>
        </w:tc>
        <w:tc>
          <w:tcPr>
            <w:tcW w:w="0" w:type="auto"/>
          </w:tcPr>
          <w:p w14:paraId="3C0A3A88" w14:textId="77777777" w:rsidR="00AD434F" w:rsidRDefault="00000000">
            <w:pPr>
              <w:pStyle w:val="Compact"/>
            </w:pPr>
            <w:r>
              <w:t>2.8 V</w:t>
            </w:r>
          </w:p>
        </w:tc>
        <w:tc>
          <w:tcPr>
            <w:tcW w:w="0" w:type="auto"/>
          </w:tcPr>
          <w:p w14:paraId="3C0A3A89" w14:textId="77777777" w:rsidR="00AD434F" w:rsidRDefault="00000000">
            <w:pPr>
              <w:pStyle w:val="Compact"/>
            </w:pPr>
            <w:r>
              <w:t>0.20 A</w:t>
            </w:r>
          </w:p>
        </w:tc>
        <w:tc>
          <w:tcPr>
            <w:tcW w:w="0" w:type="auto"/>
          </w:tcPr>
          <w:p w14:paraId="3C0A3A8A" w14:textId="77777777" w:rsidR="00AD434F" w:rsidRDefault="00000000">
            <w:pPr>
              <w:pStyle w:val="Compact"/>
            </w:pPr>
            <w:r>
              <w:t>0.22 A</w:t>
            </w:r>
          </w:p>
        </w:tc>
        <w:tc>
          <w:tcPr>
            <w:tcW w:w="0" w:type="auto"/>
          </w:tcPr>
          <w:p w14:paraId="3C0A3A8B" w14:textId="77777777" w:rsidR="00AD434F" w:rsidRDefault="00000000">
            <w:pPr>
              <w:pStyle w:val="Compact"/>
            </w:pPr>
            <w:r>
              <w:t>18 Ω</w:t>
            </w:r>
          </w:p>
        </w:tc>
        <w:tc>
          <w:tcPr>
            <w:tcW w:w="0" w:type="auto"/>
          </w:tcPr>
          <w:p w14:paraId="3C0A3A8C" w14:textId="77777777" w:rsidR="00AD434F" w:rsidRDefault="00000000">
            <w:pPr>
              <w:pStyle w:val="Compact"/>
            </w:pPr>
            <w:r>
              <w:t>27 °C</w:t>
            </w:r>
          </w:p>
        </w:tc>
      </w:tr>
      <w:tr w:rsidR="00AD434F" w14:paraId="3C0A3A95" w14:textId="77777777" w:rsidTr="001D0583">
        <w:trPr>
          <w:trHeight w:val="334"/>
        </w:trPr>
        <w:tc>
          <w:tcPr>
            <w:tcW w:w="0" w:type="auto"/>
          </w:tcPr>
          <w:p w14:paraId="3C0A3A8E" w14:textId="77777777" w:rsidR="00AD434F" w:rsidRDefault="00000000">
            <w:pPr>
              <w:pStyle w:val="Compact"/>
            </w:pPr>
            <w:r>
              <w:t>3</w:t>
            </w:r>
          </w:p>
        </w:tc>
        <w:tc>
          <w:tcPr>
            <w:tcW w:w="0" w:type="auto"/>
          </w:tcPr>
          <w:p w14:paraId="3C0A3A8F" w14:textId="77777777" w:rsidR="00AD434F" w:rsidRDefault="00000000">
            <w:pPr>
              <w:pStyle w:val="Compact"/>
            </w:pPr>
            <w:r>
              <w:t>3.5 V</w:t>
            </w:r>
          </w:p>
        </w:tc>
        <w:tc>
          <w:tcPr>
            <w:tcW w:w="0" w:type="auto"/>
          </w:tcPr>
          <w:p w14:paraId="3C0A3A90" w14:textId="77777777" w:rsidR="00AD434F" w:rsidRDefault="00000000">
            <w:pPr>
              <w:pStyle w:val="Compact"/>
            </w:pPr>
            <w:r>
              <w:t>3.2 V</w:t>
            </w:r>
          </w:p>
        </w:tc>
        <w:tc>
          <w:tcPr>
            <w:tcW w:w="0" w:type="auto"/>
          </w:tcPr>
          <w:p w14:paraId="3C0A3A91" w14:textId="77777777" w:rsidR="00AD434F" w:rsidRDefault="00000000">
            <w:pPr>
              <w:pStyle w:val="Compact"/>
            </w:pPr>
            <w:r>
              <w:t>0.25 A</w:t>
            </w:r>
          </w:p>
        </w:tc>
        <w:tc>
          <w:tcPr>
            <w:tcW w:w="0" w:type="auto"/>
          </w:tcPr>
          <w:p w14:paraId="3C0A3A92" w14:textId="77777777" w:rsidR="00AD434F" w:rsidRDefault="00000000">
            <w:pPr>
              <w:pStyle w:val="Compact"/>
            </w:pPr>
            <w:r>
              <w:t>0.28 A</w:t>
            </w:r>
          </w:p>
        </w:tc>
        <w:tc>
          <w:tcPr>
            <w:tcW w:w="0" w:type="auto"/>
          </w:tcPr>
          <w:p w14:paraId="3C0A3A93" w14:textId="77777777" w:rsidR="00AD434F" w:rsidRDefault="00000000">
            <w:pPr>
              <w:pStyle w:val="Compact"/>
            </w:pPr>
            <w:r>
              <w:t>15 Ω</w:t>
            </w:r>
          </w:p>
        </w:tc>
        <w:tc>
          <w:tcPr>
            <w:tcW w:w="0" w:type="auto"/>
          </w:tcPr>
          <w:p w14:paraId="3C0A3A94" w14:textId="77777777" w:rsidR="00AD434F" w:rsidRDefault="00000000">
            <w:pPr>
              <w:pStyle w:val="Compact"/>
            </w:pPr>
            <w:r>
              <w:t>30 °C</w:t>
            </w:r>
          </w:p>
        </w:tc>
      </w:tr>
      <w:tr w:rsidR="00AD434F" w14:paraId="3C0A3A9D" w14:textId="77777777" w:rsidTr="001D0583">
        <w:trPr>
          <w:trHeight w:val="334"/>
        </w:trPr>
        <w:tc>
          <w:tcPr>
            <w:tcW w:w="0" w:type="auto"/>
          </w:tcPr>
          <w:p w14:paraId="3C0A3A96" w14:textId="77777777" w:rsidR="00AD434F" w:rsidRDefault="00000000">
            <w:pPr>
              <w:pStyle w:val="Compact"/>
            </w:pPr>
            <w:r>
              <w:t>…</w:t>
            </w:r>
          </w:p>
        </w:tc>
        <w:tc>
          <w:tcPr>
            <w:tcW w:w="0" w:type="auto"/>
          </w:tcPr>
          <w:p w14:paraId="3C0A3A97" w14:textId="77777777" w:rsidR="00AD434F" w:rsidRDefault="00000000">
            <w:pPr>
              <w:pStyle w:val="Compact"/>
            </w:pPr>
            <w:r>
              <w:t>…</w:t>
            </w:r>
          </w:p>
        </w:tc>
        <w:tc>
          <w:tcPr>
            <w:tcW w:w="0" w:type="auto"/>
          </w:tcPr>
          <w:p w14:paraId="3C0A3A98" w14:textId="77777777" w:rsidR="00AD434F" w:rsidRDefault="00000000">
            <w:pPr>
              <w:pStyle w:val="Compact"/>
            </w:pPr>
            <w:r>
              <w:t>…</w:t>
            </w:r>
          </w:p>
        </w:tc>
        <w:tc>
          <w:tcPr>
            <w:tcW w:w="0" w:type="auto"/>
          </w:tcPr>
          <w:p w14:paraId="3C0A3A99" w14:textId="77777777" w:rsidR="00AD434F" w:rsidRDefault="00000000">
            <w:pPr>
              <w:pStyle w:val="Compact"/>
            </w:pPr>
            <w:r>
              <w:t>…</w:t>
            </w:r>
          </w:p>
        </w:tc>
        <w:tc>
          <w:tcPr>
            <w:tcW w:w="0" w:type="auto"/>
          </w:tcPr>
          <w:p w14:paraId="3C0A3A9A" w14:textId="77777777" w:rsidR="00AD434F" w:rsidRDefault="00000000">
            <w:pPr>
              <w:pStyle w:val="Compact"/>
            </w:pPr>
            <w:r>
              <w:t>…</w:t>
            </w:r>
          </w:p>
        </w:tc>
        <w:tc>
          <w:tcPr>
            <w:tcW w:w="0" w:type="auto"/>
          </w:tcPr>
          <w:p w14:paraId="3C0A3A9B" w14:textId="77777777" w:rsidR="00AD434F" w:rsidRDefault="00000000">
            <w:pPr>
              <w:pStyle w:val="Compact"/>
            </w:pPr>
            <w:r>
              <w:t>…</w:t>
            </w:r>
          </w:p>
        </w:tc>
        <w:tc>
          <w:tcPr>
            <w:tcW w:w="0" w:type="auto"/>
          </w:tcPr>
          <w:p w14:paraId="3C0A3A9C" w14:textId="77777777" w:rsidR="00AD434F" w:rsidRDefault="00000000">
            <w:pPr>
              <w:pStyle w:val="Compact"/>
            </w:pPr>
            <w:r>
              <w:t>…</w:t>
            </w:r>
          </w:p>
        </w:tc>
      </w:tr>
    </w:tbl>
    <w:p w14:paraId="3C0A3A9E" w14:textId="77777777" w:rsidR="00AD434F" w:rsidRDefault="00000000">
      <w:pPr>
        <w:pStyle w:val="Ttulo1"/>
      </w:pPr>
      <w:bookmarkStart w:id="10" w:name="resultados-y-discusión"/>
      <w:bookmarkEnd w:id="2"/>
      <w:bookmarkEnd w:id="8"/>
      <w:bookmarkEnd w:id="9"/>
      <w:r>
        <w:t>3. Resultados y Discusión</w:t>
      </w:r>
    </w:p>
    <w:p w14:paraId="3C0A3A9F" w14:textId="77777777" w:rsidR="00AD434F" w:rsidRDefault="00000000">
      <w:pPr>
        <w:pStyle w:val="FirstParagraph"/>
      </w:pPr>
      <w:r>
        <w:t xml:space="preserve">La Tabla 2 muestra algunos de los datos obtenidos durante la </w:t>
      </w:r>
      <w:r>
        <w:rPr>
          <w:i/>
          <w:iCs/>
        </w:rPr>
        <w:t>Ronda A</w:t>
      </w:r>
      <w:r>
        <w:t xml:space="preserve"> correspondiente al </w:t>
      </w:r>
      <w:r>
        <w:rPr>
          <w:i/>
          <w:iCs/>
        </w:rPr>
        <w:t>Experimento 1</w:t>
      </w:r>
      <w:r>
        <w:t>.</w:t>
      </w:r>
    </w:p>
    <w:p w14:paraId="3C0A3AA0" w14:textId="77777777" w:rsidR="00AD434F" w:rsidRDefault="00000000">
      <w:pPr>
        <w:pStyle w:val="TableCaption"/>
      </w:pPr>
      <w:bookmarkStart w:id="11" w:name="tbl:ejem_ronda"/>
      <w:r>
        <w:t>Tabla 2: Tabla representativa de datos de la RONDA-A-20251121 del Experimento 1.</w:t>
      </w:r>
    </w:p>
    <w:tbl>
      <w:tblPr>
        <w:tblStyle w:val="Table"/>
        <w:tblW w:w="5000" w:type="pct"/>
        <w:tblLayout w:type="fixed"/>
        <w:tblLook w:val="0020" w:firstRow="1" w:lastRow="0" w:firstColumn="0" w:lastColumn="0" w:noHBand="0" w:noVBand="0"/>
        <w:tblCaption w:val="Tabla 2: Tabla representativa de datos de la RONDA-A-20251121 del Experimento 1."/>
      </w:tblPr>
      <w:tblGrid>
        <w:gridCol w:w="1560"/>
        <w:gridCol w:w="1170"/>
        <w:gridCol w:w="1300"/>
        <w:gridCol w:w="1430"/>
        <w:gridCol w:w="1300"/>
        <w:gridCol w:w="1170"/>
        <w:gridCol w:w="1430"/>
      </w:tblGrid>
      <w:tr w:rsidR="00AD434F" w14:paraId="3C0A3AA8" w14:textId="77777777" w:rsidTr="00AD434F">
        <w:trPr>
          <w:cnfStyle w:val="100000000000" w:firstRow="1" w:lastRow="0" w:firstColumn="0" w:lastColumn="0" w:oddVBand="0" w:evenVBand="0" w:oddHBand="0" w:evenHBand="0" w:firstRowFirstColumn="0" w:firstRowLastColumn="0" w:lastRowFirstColumn="0" w:lastRowLastColumn="0"/>
          <w:tblHeader/>
        </w:trPr>
        <w:tc>
          <w:tcPr>
            <w:tcW w:w="1320" w:type="dxa"/>
          </w:tcPr>
          <w:p w14:paraId="3C0A3AA1" w14:textId="77777777" w:rsidR="00AD434F" w:rsidRDefault="00000000">
            <w:pPr>
              <w:pStyle w:val="Compact"/>
            </w:pPr>
            <w:r>
              <w:t>No. Muestra</w:t>
            </w:r>
          </w:p>
        </w:tc>
        <w:tc>
          <w:tcPr>
            <w:tcW w:w="990" w:type="dxa"/>
          </w:tcPr>
          <w:p w14:paraId="3C0A3AA2" w14:textId="77777777" w:rsidR="00AD434F" w:rsidRDefault="00000000">
            <w:pPr>
              <w:pStyle w:val="Compact"/>
            </w:pPr>
            <w:r>
              <w:t>Vol Iny</w:t>
            </w:r>
          </w:p>
        </w:tc>
        <w:tc>
          <w:tcPr>
            <w:tcW w:w="1100" w:type="dxa"/>
          </w:tcPr>
          <w:p w14:paraId="3C0A3AA3" w14:textId="77777777" w:rsidR="00AD434F" w:rsidRDefault="00000000">
            <w:pPr>
              <w:pStyle w:val="Compact"/>
            </w:pPr>
            <w:r>
              <w:t>Vol Elec</w:t>
            </w:r>
          </w:p>
        </w:tc>
        <w:tc>
          <w:tcPr>
            <w:tcW w:w="1210" w:type="dxa"/>
          </w:tcPr>
          <w:p w14:paraId="3C0A3AA4" w14:textId="77777777" w:rsidR="00AD434F" w:rsidRDefault="00000000">
            <w:pPr>
              <w:pStyle w:val="Compact"/>
            </w:pPr>
            <w:r>
              <w:t>Corr Elec</w:t>
            </w:r>
          </w:p>
        </w:tc>
        <w:tc>
          <w:tcPr>
            <w:tcW w:w="1100" w:type="dxa"/>
          </w:tcPr>
          <w:p w14:paraId="3C0A3AA5" w14:textId="77777777" w:rsidR="00AD434F" w:rsidRDefault="00000000">
            <w:pPr>
              <w:pStyle w:val="Compact"/>
            </w:pPr>
            <w:r>
              <w:t>Corr Iny</w:t>
            </w:r>
          </w:p>
        </w:tc>
        <w:tc>
          <w:tcPr>
            <w:tcW w:w="990" w:type="dxa"/>
          </w:tcPr>
          <w:p w14:paraId="3C0A3AA6" w14:textId="77777777" w:rsidR="00AD434F" w:rsidRDefault="00000000">
            <w:pPr>
              <w:pStyle w:val="Compact"/>
            </w:pPr>
            <w:r>
              <w:t>Res (Ω)</w:t>
            </w:r>
          </w:p>
        </w:tc>
        <w:tc>
          <w:tcPr>
            <w:tcW w:w="1210" w:type="dxa"/>
          </w:tcPr>
          <w:p w14:paraId="3C0A3AA7" w14:textId="77777777" w:rsidR="00AD434F" w:rsidRDefault="00000000">
            <w:pPr>
              <w:pStyle w:val="Compact"/>
            </w:pPr>
            <w:r>
              <w:t>Temp (°C)</w:t>
            </w:r>
          </w:p>
        </w:tc>
      </w:tr>
      <w:tr w:rsidR="00AD434F" w14:paraId="3C0A3AB0" w14:textId="77777777">
        <w:tc>
          <w:tcPr>
            <w:tcW w:w="1320" w:type="dxa"/>
          </w:tcPr>
          <w:p w14:paraId="3C0A3AA9" w14:textId="77777777" w:rsidR="00AD434F" w:rsidRDefault="00000000">
            <w:pPr>
              <w:pStyle w:val="Compact"/>
            </w:pPr>
            <w:r>
              <w:t>10</w:t>
            </w:r>
          </w:p>
        </w:tc>
        <w:tc>
          <w:tcPr>
            <w:tcW w:w="990" w:type="dxa"/>
          </w:tcPr>
          <w:p w14:paraId="3C0A3AAA" w14:textId="77777777" w:rsidR="00AD434F" w:rsidRDefault="00000000">
            <w:pPr>
              <w:pStyle w:val="Compact"/>
            </w:pPr>
            <w:r>
              <w:t>1.0 V</w:t>
            </w:r>
          </w:p>
        </w:tc>
        <w:tc>
          <w:tcPr>
            <w:tcW w:w="1100" w:type="dxa"/>
          </w:tcPr>
          <w:p w14:paraId="3C0A3AAB" w14:textId="77777777" w:rsidR="00AD434F" w:rsidRDefault="00000000">
            <w:pPr>
              <w:pStyle w:val="Compact"/>
            </w:pPr>
            <w:r>
              <w:t>0.969 V</w:t>
            </w:r>
          </w:p>
        </w:tc>
        <w:tc>
          <w:tcPr>
            <w:tcW w:w="1210" w:type="dxa"/>
          </w:tcPr>
          <w:p w14:paraId="3C0A3AAC" w14:textId="77777777" w:rsidR="00AD434F" w:rsidRDefault="00000000">
            <w:pPr>
              <w:pStyle w:val="Compact"/>
            </w:pPr>
            <w:r>
              <w:t>0.000210 A</w:t>
            </w:r>
          </w:p>
        </w:tc>
        <w:tc>
          <w:tcPr>
            <w:tcW w:w="1100" w:type="dxa"/>
          </w:tcPr>
          <w:p w14:paraId="3C0A3AAD" w14:textId="77777777" w:rsidR="00AD434F" w:rsidRDefault="00000000">
            <w:pPr>
              <w:pStyle w:val="Compact"/>
            </w:pPr>
            <w:r>
              <w:t>0.001 A</w:t>
            </w:r>
          </w:p>
        </w:tc>
        <w:tc>
          <w:tcPr>
            <w:tcW w:w="990" w:type="dxa"/>
          </w:tcPr>
          <w:p w14:paraId="3C0A3AAE" w14:textId="77777777" w:rsidR="00AD434F" w:rsidRDefault="00000000">
            <w:pPr>
              <w:pStyle w:val="Compact"/>
            </w:pPr>
            <w:r>
              <w:t>4606.84</w:t>
            </w:r>
          </w:p>
        </w:tc>
        <w:tc>
          <w:tcPr>
            <w:tcW w:w="1210" w:type="dxa"/>
          </w:tcPr>
          <w:p w14:paraId="3C0A3AAF" w14:textId="77777777" w:rsidR="00AD434F" w:rsidRDefault="00000000">
            <w:pPr>
              <w:pStyle w:val="Compact"/>
            </w:pPr>
            <w:r>
              <w:t>21.49</w:t>
            </w:r>
          </w:p>
        </w:tc>
      </w:tr>
      <w:tr w:rsidR="00AD434F" w14:paraId="3C0A3AB8" w14:textId="77777777">
        <w:tc>
          <w:tcPr>
            <w:tcW w:w="1320" w:type="dxa"/>
          </w:tcPr>
          <w:p w14:paraId="3C0A3AB1" w14:textId="77777777" w:rsidR="00AD434F" w:rsidRDefault="00000000">
            <w:pPr>
              <w:pStyle w:val="Compact"/>
            </w:pPr>
            <w:r>
              <w:t>15</w:t>
            </w:r>
          </w:p>
        </w:tc>
        <w:tc>
          <w:tcPr>
            <w:tcW w:w="990" w:type="dxa"/>
          </w:tcPr>
          <w:p w14:paraId="3C0A3AB2" w14:textId="77777777" w:rsidR="00AD434F" w:rsidRDefault="00000000">
            <w:pPr>
              <w:pStyle w:val="Compact"/>
            </w:pPr>
            <w:r>
              <w:t>1.5 V</w:t>
            </w:r>
          </w:p>
        </w:tc>
        <w:tc>
          <w:tcPr>
            <w:tcW w:w="1100" w:type="dxa"/>
          </w:tcPr>
          <w:p w14:paraId="3C0A3AB3" w14:textId="77777777" w:rsidR="00AD434F" w:rsidRDefault="00000000">
            <w:pPr>
              <w:pStyle w:val="Compact"/>
            </w:pPr>
            <w:r>
              <w:t>1.470 V</w:t>
            </w:r>
          </w:p>
        </w:tc>
        <w:tc>
          <w:tcPr>
            <w:tcW w:w="1210" w:type="dxa"/>
          </w:tcPr>
          <w:p w14:paraId="3C0A3AB4" w14:textId="77777777" w:rsidR="00AD434F" w:rsidRDefault="00000000">
            <w:pPr>
              <w:pStyle w:val="Compact"/>
            </w:pPr>
            <w:r>
              <w:t>0.000309 A</w:t>
            </w:r>
          </w:p>
        </w:tc>
        <w:tc>
          <w:tcPr>
            <w:tcW w:w="1100" w:type="dxa"/>
          </w:tcPr>
          <w:p w14:paraId="3C0A3AB5" w14:textId="77777777" w:rsidR="00AD434F" w:rsidRDefault="00000000">
            <w:pPr>
              <w:pStyle w:val="Compact"/>
            </w:pPr>
            <w:r>
              <w:t>0.001 A</w:t>
            </w:r>
          </w:p>
        </w:tc>
        <w:tc>
          <w:tcPr>
            <w:tcW w:w="990" w:type="dxa"/>
          </w:tcPr>
          <w:p w14:paraId="3C0A3AB6" w14:textId="77777777" w:rsidR="00AD434F" w:rsidRDefault="00000000">
            <w:pPr>
              <w:pStyle w:val="Compact"/>
            </w:pPr>
            <w:r>
              <w:t>4751.88</w:t>
            </w:r>
          </w:p>
        </w:tc>
        <w:tc>
          <w:tcPr>
            <w:tcW w:w="1210" w:type="dxa"/>
          </w:tcPr>
          <w:p w14:paraId="3C0A3AB7" w14:textId="77777777" w:rsidR="00AD434F" w:rsidRDefault="00000000">
            <w:pPr>
              <w:pStyle w:val="Compact"/>
            </w:pPr>
            <w:r>
              <w:t>21.55</w:t>
            </w:r>
          </w:p>
        </w:tc>
      </w:tr>
      <w:tr w:rsidR="00AD434F" w14:paraId="3C0A3AC0" w14:textId="77777777">
        <w:tc>
          <w:tcPr>
            <w:tcW w:w="1320" w:type="dxa"/>
          </w:tcPr>
          <w:p w14:paraId="3C0A3AB9" w14:textId="77777777" w:rsidR="00AD434F" w:rsidRDefault="00000000">
            <w:pPr>
              <w:pStyle w:val="Compact"/>
            </w:pPr>
            <w:r>
              <w:t>20</w:t>
            </w:r>
          </w:p>
        </w:tc>
        <w:tc>
          <w:tcPr>
            <w:tcW w:w="990" w:type="dxa"/>
          </w:tcPr>
          <w:p w14:paraId="3C0A3ABA" w14:textId="77777777" w:rsidR="00AD434F" w:rsidRDefault="00000000">
            <w:pPr>
              <w:pStyle w:val="Compact"/>
            </w:pPr>
            <w:r>
              <w:t>2.0 V</w:t>
            </w:r>
          </w:p>
        </w:tc>
        <w:tc>
          <w:tcPr>
            <w:tcW w:w="1100" w:type="dxa"/>
          </w:tcPr>
          <w:p w14:paraId="3C0A3ABB" w14:textId="77777777" w:rsidR="00AD434F" w:rsidRDefault="00000000">
            <w:pPr>
              <w:pStyle w:val="Compact"/>
            </w:pPr>
            <w:r>
              <w:t>1.969 V</w:t>
            </w:r>
          </w:p>
        </w:tc>
        <w:tc>
          <w:tcPr>
            <w:tcW w:w="1210" w:type="dxa"/>
          </w:tcPr>
          <w:p w14:paraId="3C0A3ABC" w14:textId="77777777" w:rsidR="00AD434F" w:rsidRDefault="00000000">
            <w:pPr>
              <w:pStyle w:val="Compact"/>
            </w:pPr>
            <w:r>
              <w:t>0.016564 A</w:t>
            </w:r>
          </w:p>
        </w:tc>
        <w:tc>
          <w:tcPr>
            <w:tcW w:w="1100" w:type="dxa"/>
          </w:tcPr>
          <w:p w14:paraId="3C0A3ABD" w14:textId="77777777" w:rsidR="00AD434F" w:rsidRDefault="00000000">
            <w:pPr>
              <w:pStyle w:val="Compact"/>
            </w:pPr>
            <w:r>
              <w:t>0.100 A</w:t>
            </w:r>
          </w:p>
        </w:tc>
        <w:tc>
          <w:tcPr>
            <w:tcW w:w="990" w:type="dxa"/>
          </w:tcPr>
          <w:p w14:paraId="3C0A3ABE" w14:textId="77777777" w:rsidR="00AD434F" w:rsidRDefault="00000000">
            <w:pPr>
              <w:pStyle w:val="Compact"/>
            </w:pPr>
            <w:r>
              <w:t>118.91</w:t>
            </w:r>
          </w:p>
        </w:tc>
        <w:tc>
          <w:tcPr>
            <w:tcW w:w="1210" w:type="dxa"/>
          </w:tcPr>
          <w:p w14:paraId="3C0A3ABF" w14:textId="77777777" w:rsidR="00AD434F" w:rsidRDefault="00000000">
            <w:pPr>
              <w:pStyle w:val="Compact"/>
            </w:pPr>
            <w:r>
              <w:t>21.67</w:t>
            </w:r>
          </w:p>
        </w:tc>
      </w:tr>
      <w:tr w:rsidR="00AD434F" w14:paraId="3C0A3AC8" w14:textId="77777777">
        <w:tc>
          <w:tcPr>
            <w:tcW w:w="1320" w:type="dxa"/>
          </w:tcPr>
          <w:p w14:paraId="3C0A3AC1" w14:textId="77777777" w:rsidR="00AD434F" w:rsidRDefault="00000000">
            <w:pPr>
              <w:pStyle w:val="Compact"/>
            </w:pPr>
            <w:r>
              <w:t>25</w:t>
            </w:r>
          </w:p>
        </w:tc>
        <w:tc>
          <w:tcPr>
            <w:tcW w:w="990" w:type="dxa"/>
          </w:tcPr>
          <w:p w14:paraId="3C0A3AC2" w14:textId="77777777" w:rsidR="00AD434F" w:rsidRDefault="00000000">
            <w:pPr>
              <w:pStyle w:val="Compact"/>
            </w:pPr>
            <w:r>
              <w:t>2.5 V</w:t>
            </w:r>
          </w:p>
        </w:tc>
        <w:tc>
          <w:tcPr>
            <w:tcW w:w="1100" w:type="dxa"/>
          </w:tcPr>
          <w:p w14:paraId="3C0A3AC3" w14:textId="77777777" w:rsidR="00AD434F" w:rsidRDefault="00000000">
            <w:pPr>
              <w:pStyle w:val="Compact"/>
            </w:pPr>
            <w:r>
              <w:t>2.371 V</w:t>
            </w:r>
          </w:p>
        </w:tc>
        <w:tc>
          <w:tcPr>
            <w:tcW w:w="1210" w:type="dxa"/>
          </w:tcPr>
          <w:p w14:paraId="3C0A3AC4" w14:textId="77777777" w:rsidR="00AD434F" w:rsidRDefault="00000000">
            <w:pPr>
              <w:pStyle w:val="Compact"/>
            </w:pPr>
            <w:r>
              <w:t>0.430436 A</w:t>
            </w:r>
          </w:p>
        </w:tc>
        <w:tc>
          <w:tcPr>
            <w:tcW w:w="1100" w:type="dxa"/>
          </w:tcPr>
          <w:p w14:paraId="3C0A3AC5" w14:textId="77777777" w:rsidR="00AD434F" w:rsidRDefault="00000000">
            <w:pPr>
              <w:pStyle w:val="Compact"/>
            </w:pPr>
            <w:r>
              <w:t>0.870 A</w:t>
            </w:r>
          </w:p>
        </w:tc>
        <w:tc>
          <w:tcPr>
            <w:tcW w:w="990" w:type="dxa"/>
          </w:tcPr>
          <w:p w14:paraId="3C0A3AC6" w14:textId="77777777" w:rsidR="00AD434F" w:rsidRDefault="00000000">
            <w:pPr>
              <w:pStyle w:val="Compact"/>
            </w:pPr>
            <w:r>
              <w:t>5.51</w:t>
            </w:r>
          </w:p>
        </w:tc>
        <w:tc>
          <w:tcPr>
            <w:tcW w:w="1210" w:type="dxa"/>
          </w:tcPr>
          <w:p w14:paraId="3C0A3AC7" w14:textId="77777777" w:rsidR="00AD434F" w:rsidRDefault="00000000">
            <w:pPr>
              <w:pStyle w:val="Compact"/>
            </w:pPr>
            <w:r>
              <w:t>21.88</w:t>
            </w:r>
          </w:p>
        </w:tc>
      </w:tr>
      <w:tr w:rsidR="00AD434F" w14:paraId="3C0A3AD0" w14:textId="77777777">
        <w:tc>
          <w:tcPr>
            <w:tcW w:w="1320" w:type="dxa"/>
          </w:tcPr>
          <w:p w14:paraId="3C0A3AC9" w14:textId="77777777" w:rsidR="00AD434F" w:rsidRDefault="00000000">
            <w:pPr>
              <w:pStyle w:val="Compact"/>
            </w:pPr>
            <w:r>
              <w:t>30</w:t>
            </w:r>
          </w:p>
        </w:tc>
        <w:tc>
          <w:tcPr>
            <w:tcW w:w="990" w:type="dxa"/>
          </w:tcPr>
          <w:p w14:paraId="3C0A3ACA" w14:textId="77777777" w:rsidR="00AD434F" w:rsidRDefault="00000000">
            <w:pPr>
              <w:pStyle w:val="Compact"/>
            </w:pPr>
            <w:r>
              <w:t>3.0 V</w:t>
            </w:r>
          </w:p>
        </w:tc>
        <w:tc>
          <w:tcPr>
            <w:tcW w:w="1100" w:type="dxa"/>
          </w:tcPr>
          <w:p w14:paraId="3C0A3ACB" w14:textId="77777777" w:rsidR="00AD434F" w:rsidRDefault="00000000">
            <w:pPr>
              <w:pStyle w:val="Compact"/>
            </w:pPr>
            <w:r>
              <w:t>2.724 V</w:t>
            </w:r>
          </w:p>
        </w:tc>
        <w:tc>
          <w:tcPr>
            <w:tcW w:w="1210" w:type="dxa"/>
          </w:tcPr>
          <w:p w14:paraId="3C0A3ACC" w14:textId="77777777" w:rsidR="00AD434F" w:rsidRDefault="00000000">
            <w:pPr>
              <w:pStyle w:val="Compact"/>
            </w:pPr>
            <w:r>
              <w:t>1.064797 A</w:t>
            </w:r>
          </w:p>
        </w:tc>
        <w:tc>
          <w:tcPr>
            <w:tcW w:w="1100" w:type="dxa"/>
          </w:tcPr>
          <w:p w14:paraId="3C0A3ACD" w14:textId="77777777" w:rsidR="00AD434F" w:rsidRDefault="00000000">
            <w:pPr>
              <w:pStyle w:val="Compact"/>
            </w:pPr>
            <w:r>
              <w:t>1.395 A</w:t>
            </w:r>
          </w:p>
        </w:tc>
        <w:tc>
          <w:tcPr>
            <w:tcW w:w="990" w:type="dxa"/>
          </w:tcPr>
          <w:p w14:paraId="3C0A3ACE" w14:textId="77777777" w:rsidR="00AD434F" w:rsidRDefault="00000000">
            <w:pPr>
              <w:pStyle w:val="Compact"/>
            </w:pPr>
            <w:r>
              <w:t>2.56</w:t>
            </w:r>
          </w:p>
        </w:tc>
        <w:tc>
          <w:tcPr>
            <w:tcW w:w="1210" w:type="dxa"/>
          </w:tcPr>
          <w:p w14:paraId="3C0A3ACF" w14:textId="77777777" w:rsidR="00AD434F" w:rsidRDefault="00000000">
            <w:pPr>
              <w:pStyle w:val="Compact"/>
            </w:pPr>
            <w:r>
              <w:t>22.41</w:t>
            </w:r>
          </w:p>
        </w:tc>
      </w:tr>
      <w:tr w:rsidR="00AD434F" w14:paraId="3C0A3AD8" w14:textId="77777777">
        <w:tc>
          <w:tcPr>
            <w:tcW w:w="1320" w:type="dxa"/>
          </w:tcPr>
          <w:p w14:paraId="3C0A3AD1" w14:textId="77777777" w:rsidR="00AD434F" w:rsidRDefault="00000000">
            <w:pPr>
              <w:pStyle w:val="Compact"/>
            </w:pPr>
            <w:r>
              <w:t>35</w:t>
            </w:r>
          </w:p>
        </w:tc>
        <w:tc>
          <w:tcPr>
            <w:tcW w:w="990" w:type="dxa"/>
          </w:tcPr>
          <w:p w14:paraId="3C0A3AD2" w14:textId="77777777" w:rsidR="00AD434F" w:rsidRDefault="00000000">
            <w:pPr>
              <w:pStyle w:val="Compact"/>
            </w:pPr>
            <w:r>
              <w:t>3.5 V</w:t>
            </w:r>
          </w:p>
        </w:tc>
        <w:tc>
          <w:tcPr>
            <w:tcW w:w="1100" w:type="dxa"/>
          </w:tcPr>
          <w:p w14:paraId="3C0A3AD3" w14:textId="77777777" w:rsidR="00AD434F" w:rsidRDefault="00000000">
            <w:pPr>
              <w:pStyle w:val="Compact"/>
            </w:pPr>
            <w:r>
              <w:t>3.073 V</w:t>
            </w:r>
          </w:p>
        </w:tc>
        <w:tc>
          <w:tcPr>
            <w:tcW w:w="1210" w:type="dxa"/>
          </w:tcPr>
          <w:p w14:paraId="3C0A3AD4" w14:textId="77777777" w:rsidR="00AD434F" w:rsidRDefault="00000000">
            <w:pPr>
              <w:pStyle w:val="Compact"/>
            </w:pPr>
            <w:r>
              <w:t>1.761034 A</w:t>
            </w:r>
          </w:p>
        </w:tc>
        <w:tc>
          <w:tcPr>
            <w:tcW w:w="1100" w:type="dxa"/>
          </w:tcPr>
          <w:p w14:paraId="3C0A3AD5" w14:textId="77777777" w:rsidR="00AD434F" w:rsidRDefault="00000000">
            <w:pPr>
              <w:pStyle w:val="Compact"/>
            </w:pPr>
            <w:r>
              <w:t>2.07 A</w:t>
            </w:r>
          </w:p>
        </w:tc>
        <w:tc>
          <w:tcPr>
            <w:tcW w:w="990" w:type="dxa"/>
          </w:tcPr>
          <w:p w14:paraId="3C0A3AD6" w14:textId="77777777" w:rsidR="00AD434F" w:rsidRDefault="00000000">
            <w:pPr>
              <w:pStyle w:val="Compact"/>
            </w:pPr>
            <w:r>
              <w:t>1.75</w:t>
            </w:r>
          </w:p>
        </w:tc>
        <w:tc>
          <w:tcPr>
            <w:tcW w:w="1210" w:type="dxa"/>
          </w:tcPr>
          <w:p w14:paraId="3C0A3AD7" w14:textId="77777777" w:rsidR="00AD434F" w:rsidRDefault="00000000">
            <w:pPr>
              <w:pStyle w:val="Compact"/>
            </w:pPr>
            <w:r>
              <w:t>23.55</w:t>
            </w:r>
          </w:p>
        </w:tc>
      </w:tr>
    </w:tbl>
    <w:bookmarkEnd w:id="11"/>
    <w:p w14:paraId="3C0A3AD9" w14:textId="77777777" w:rsidR="00AD434F" w:rsidRDefault="00000000">
      <w:pPr>
        <w:pStyle w:val="Textoindependiente"/>
      </w:pPr>
      <w:r>
        <w:t>Una vez obtenidos los datos experimentales, se procesaron y organizaron para comparar la evolución de las variables a lo largo de las cuatro rondas de caracterización de cada experimento. Las Figuras Figura 3 y Figura 4 presentan la superposición de las cuatro curvas voltaje–corriente (V–I) correspondientes a las rondas de Experimentos 1 y 2, respectivamente, lo que permite evaluar la reproducibilidad entre rondas y las diferencias globales entre experimentos.</w:t>
      </w:r>
    </w:p>
    <w:p w14:paraId="3C0A3ADA" w14:textId="77777777" w:rsidR="00AD434F" w:rsidRDefault="00000000">
      <w:pPr>
        <w:pStyle w:val="CaptionedFigure"/>
      </w:pPr>
      <w:bookmarkStart w:id="12" w:name="fig:v_vs_i_exp1"/>
      <w:bookmarkStart w:id="13" w:name="fig:VI-comp"/>
      <w:r>
        <w:lastRenderedPageBreak/>
        <w:drawing>
          <wp:inline distT="0" distB="0" distL="0" distR="0" wp14:anchorId="3C0A3B27" wp14:editId="3C0A3B28">
            <wp:extent cx="4160520" cy="2636729"/>
            <wp:effectExtent l="0" t="0" r="0" b="0"/>
            <wp:docPr id="40" name="Picture" descr="Figura 3: Comparativa Voltaje-Corriente en los Electrodos - Experimento 1."/>
            <wp:cNvGraphicFramePr/>
            <a:graphic xmlns:a="http://schemas.openxmlformats.org/drawingml/2006/main">
              <a:graphicData uri="http://schemas.openxmlformats.org/drawingml/2006/picture">
                <pic:pic xmlns:pic="http://schemas.openxmlformats.org/drawingml/2006/picture">
                  <pic:nvPicPr>
                    <pic:cNvPr id="41" name="Picture" descr="figures/V_vs_I_Exp1.png"/>
                    <pic:cNvPicPr>
                      <a:picLocks noChangeAspect="1" noChangeArrowheads="1"/>
                    </pic:cNvPicPr>
                  </pic:nvPicPr>
                  <pic:blipFill>
                    <a:blip r:embed="rId7"/>
                    <a:stretch>
                      <a:fillRect/>
                    </a:stretch>
                  </pic:blipFill>
                  <pic:spPr bwMode="auto">
                    <a:xfrm>
                      <a:off x="0" y="0"/>
                      <a:ext cx="4160520" cy="2636729"/>
                    </a:xfrm>
                    <a:prstGeom prst="rect">
                      <a:avLst/>
                    </a:prstGeom>
                    <a:noFill/>
                    <a:ln w="9525">
                      <a:noFill/>
                      <a:headEnd/>
                      <a:tailEnd/>
                    </a:ln>
                  </pic:spPr>
                </pic:pic>
              </a:graphicData>
            </a:graphic>
          </wp:inline>
        </w:drawing>
      </w:r>
    </w:p>
    <w:p w14:paraId="3C0A3ADB" w14:textId="77777777" w:rsidR="00AD434F" w:rsidRDefault="00000000">
      <w:pPr>
        <w:pStyle w:val="ImageCaption"/>
      </w:pPr>
      <w:r>
        <w:t>Figura 3: Comparativa Voltaje-Corriente en los Electrodos - Experimento 1.</w:t>
      </w:r>
    </w:p>
    <w:p w14:paraId="3C0A3ADC" w14:textId="77777777" w:rsidR="00AD434F" w:rsidRDefault="00000000">
      <w:pPr>
        <w:pStyle w:val="CaptionedFigure"/>
      </w:pPr>
      <w:bookmarkStart w:id="14" w:name="fig:v_vs_i_exp2"/>
      <w:bookmarkEnd w:id="12"/>
      <w:r>
        <w:drawing>
          <wp:inline distT="0" distB="0" distL="0" distR="0" wp14:anchorId="3C0A3B29" wp14:editId="3C0A3B2A">
            <wp:extent cx="4160520" cy="2631528"/>
            <wp:effectExtent l="0" t="0" r="0" b="0"/>
            <wp:docPr id="44" name="Picture" descr="Figura 4: Comparativa Voltaje–Corriente en los Electrodos – Experimento 2."/>
            <wp:cNvGraphicFramePr/>
            <a:graphic xmlns:a="http://schemas.openxmlformats.org/drawingml/2006/main">
              <a:graphicData uri="http://schemas.openxmlformats.org/drawingml/2006/picture">
                <pic:pic xmlns:pic="http://schemas.openxmlformats.org/drawingml/2006/picture">
                  <pic:nvPicPr>
                    <pic:cNvPr id="45" name="Picture" descr="figures/V_vs_I_Exp2.png"/>
                    <pic:cNvPicPr>
                      <a:picLocks noChangeAspect="1" noChangeArrowheads="1"/>
                    </pic:cNvPicPr>
                  </pic:nvPicPr>
                  <pic:blipFill>
                    <a:blip r:embed="rId8"/>
                    <a:stretch>
                      <a:fillRect/>
                    </a:stretch>
                  </pic:blipFill>
                  <pic:spPr bwMode="auto">
                    <a:xfrm>
                      <a:off x="0" y="0"/>
                      <a:ext cx="4160520" cy="2631528"/>
                    </a:xfrm>
                    <a:prstGeom prst="rect">
                      <a:avLst/>
                    </a:prstGeom>
                    <a:noFill/>
                    <a:ln w="9525">
                      <a:noFill/>
                      <a:headEnd/>
                      <a:tailEnd/>
                    </a:ln>
                  </pic:spPr>
                </pic:pic>
              </a:graphicData>
            </a:graphic>
          </wp:inline>
        </w:drawing>
      </w:r>
    </w:p>
    <w:p w14:paraId="3C0A3ADD" w14:textId="77777777" w:rsidR="00AD434F" w:rsidRDefault="00000000">
      <w:pPr>
        <w:pStyle w:val="ImageCaption"/>
      </w:pPr>
      <w:r>
        <w:t>Figura 4: Comparativa Voltaje–Corriente en los Electrodos – Experimento 2.</w:t>
      </w:r>
    </w:p>
    <w:bookmarkEnd w:id="13"/>
    <w:bookmarkEnd w:id="14"/>
    <w:p w14:paraId="3C0A3ADE" w14:textId="77777777" w:rsidR="00AD434F" w:rsidRDefault="00000000">
      <w:pPr>
        <w:pStyle w:val="Textoindependiente"/>
      </w:pPr>
      <w:r>
        <w:t xml:space="preserve">En la Figura 5 y Figura 6 se presenta una comparación entre el voltaje y la resistencia eléctrica en una ventana de análisis comprendida entre </w:t>
      </w:r>
      <m:oMath>
        <m:r>
          <w:rPr>
            <w:rFonts w:ascii="Cambria Math" w:hAnsi="Cambria Math"/>
          </w:rPr>
          <m:t>2.5V</m:t>
        </m:r>
      </m:oMath>
      <w:r>
        <w:t xml:space="preserve"> y </w:t>
      </w:r>
      <m:oMath>
        <m:r>
          <w:rPr>
            <w:rFonts w:ascii="Cambria Math" w:hAnsi="Cambria Math"/>
          </w:rPr>
          <m:t>5V</m:t>
        </m:r>
      </m:oMath>
      <w:r>
        <w:t xml:space="preserve"> para los </w:t>
      </w:r>
      <w:r>
        <w:rPr>
          <w:i/>
          <w:iCs/>
        </w:rPr>
        <w:t>Experimentos 1</w:t>
      </w:r>
      <w:r>
        <w:t xml:space="preserve"> y </w:t>
      </w:r>
      <w:r>
        <w:rPr>
          <w:i/>
          <w:iCs/>
        </w:rPr>
        <w:t>2</w:t>
      </w:r>
      <w:r>
        <w:t>. Este rango se selecciona debido a que, al inicio del estudio, la ausencia de flujo de corriente provoca valores de resistencia muy elevados que dificultan la visualización del comportamiento dinámico del sistema.</w:t>
      </w:r>
    </w:p>
    <w:p w14:paraId="3C0A3ADF" w14:textId="77777777" w:rsidR="00AD434F" w:rsidRDefault="00000000">
      <w:pPr>
        <w:pStyle w:val="CaptionedFigure"/>
      </w:pPr>
      <w:bookmarkStart w:id="15" w:name="fig:v_vs_r_2_5_exp1"/>
      <w:bookmarkStart w:id="16" w:name="fig:VR-comp-2_5"/>
      <w:r>
        <w:lastRenderedPageBreak/>
        <w:drawing>
          <wp:inline distT="0" distB="0" distL="0" distR="0" wp14:anchorId="3C0A3B2B" wp14:editId="3C0A3B2C">
            <wp:extent cx="4160520" cy="2561320"/>
            <wp:effectExtent l="0" t="0" r="0" b="0"/>
            <wp:docPr id="49" name="Picture" descr="Figura 5: Voltaje vs Resistencia – Experimento 1 (2.5–5 V)."/>
            <wp:cNvGraphicFramePr/>
            <a:graphic xmlns:a="http://schemas.openxmlformats.org/drawingml/2006/main">
              <a:graphicData uri="http://schemas.openxmlformats.org/drawingml/2006/picture">
                <pic:pic xmlns:pic="http://schemas.openxmlformats.org/drawingml/2006/picture">
                  <pic:nvPicPr>
                    <pic:cNvPr id="50" name="Picture" descr="figures/V_vs_R_EXP1_2.5_5.png"/>
                    <pic:cNvPicPr>
                      <a:picLocks noChangeAspect="1" noChangeArrowheads="1"/>
                    </pic:cNvPicPr>
                  </pic:nvPicPr>
                  <pic:blipFill>
                    <a:blip r:embed="rId9"/>
                    <a:stretch>
                      <a:fillRect/>
                    </a:stretch>
                  </pic:blipFill>
                  <pic:spPr bwMode="auto">
                    <a:xfrm>
                      <a:off x="0" y="0"/>
                      <a:ext cx="4160520" cy="2561320"/>
                    </a:xfrm>
                    <a:prstGeom prst="rect">
                      <a:avLst/>
                    </a:prstGeom>
                    <a:noFill/>
                    <a:ln w="9525">
                      <a:noFill/>
                      <a:headEnd/>
                      <a:tailEnd/>
                    </a:ln>
                  </pic:spPr>
                </pic:pic>
              </a:graphicData>
            </a:graphic>
          </wp:inline>
        </w:drawing>
      </w:r>
    </w:p>
    <w:p w14:paraId="3C0A3AE0" w14:textId="77777777" w:rsidR="00AD434F" w:rsidRDefault="00000000">
      <w:pPr>
        <w:pStyle w:val="ImageCaption"/>
      </w:pPr>
      <w:r>
        <w:t>Figura 5: Voltaje vs Resistencia – Experimento 1 (2.5–5 V).</w:t>
      </w:r>
    </w:p>
    <w:p w14:paraId="3C0A3AE1" w14:textId="77777777" w:rsidR="00AD434F" w:rsidRDefault="00000000">
      <w:pPr>
        <w:pStyle w:val="CaptionedFigure"/>
      </w:pPr>
      <w:bookmarkStart w:id="17" w:name="fig:v_vs_r_2_5_exp2"/>
      <w:bookmarkEnd w:id="15"/>
      <w:r>
        <w:drawing>
          <wp:inline distT="0" distB="0" distL="0" distR="0" wp14:anchorId="3C0A3B2D" wp14:editId="3C0A3B2E">
            <wp:extent cx="4160520" cy="2634129"/>
            <wp:effectExtent l="0" t="0" r="0" b="0"/>
            <wp:docPr id="53" name="Picture" descr="Figura 6: Voltaje vs Resistencia – Experimento 2 (2.5–5 V)."/>
            <wp:cNvGraphicFramePr/>
            <a:graphic xmlns:a="http://schemas.openxmlformats.org/drawingml/2006/main">
              <a:graphicData uri="http://schemas.openxmlformats.org/drawingml/2006/picture">
                <pic:pic xmlns:pic="http://schemas.openxmlformats.org/drawingml/2006/picture">
                  <pic:nvPicPr>
                    <pic:cNvPr id="54" name="Picture" descr="figures/V_vs_R_EXP2_2.5_5.png"/>
                    <pic:cNvPicPr>
                      <a:picLocks noChangeAspect="1" noChangeArrowheads="1"/>
                    </pic:cNvPicPr>
                  </pic:nvPicPr>
                  <pic:blipFill>
                    <a:blip r:embed="rId10"/>
                    <a:stretch>
                      <a:fillRect/>
                    </a:stretch>
                  </pic:blipFill>
                  <pic:spPr bwMode="auto">
                    <a:xfrm>
                      <a:off x="0" y="0"/>
                      <a:ext cx="4160520" cy="2634129"/>
                    </a:xfrm>
                    <a:prstGeom prst="rect">
                      <a:avLst/>
                    </a:prstGeom>
                    <a:noFill/>
                    <a:ln w="9525">
                      <a:noFill/>
                      <a:headEnd/>
                      <a:tailEnd/>
                    </a:ln>
                  </pic:spPr>
                </pic:pic>
              </a:graphicData>
            </a:graphic>
          </wp:inline>
        </w:drawing>
      </w:r>
    </w:p>
    <w:p w14:paraId="3C0A3AE2" w14:textId="77777777" w:rsidR="00AD434F" w:rsidRDefault="00000000">
      <w:pPr>
        <w:pStyle w:val="ImageCaption"/>
      </w:pPr>
      <w:r>
        <w:t>Figura 6: Voltaje vs Resistencia – Experimento 2 (2.5–5 V).</w:t>
      </w:r>
    </w:p>
    <w:bookmarkEnd w:id="16"/>
    <w:bookmarkEnd w:id="17"/>
    <w:p w14:paraId="3C0A3AE3" w14:textId="77777777" w:rsidR="00AD434F" w:rsidRDefault="00000000">
      <w:pPr>
        <w:pStyle w:val="Textoindependiente"/>
      </w:pPr>
      <w:r>
        <w:t xml:space="preserve">Como se aprecia en la Figura 5 y Figura 6, al inicio del rango de análisis se presenta una caída abrupta del valor de la resistencia eléctrica, particularmente dentro del intervalo de </w:t>
      </w:r>
      <m:oMath>
        <m:r>
          <w:rPr>
            <w:rFonts w:ascii="Cambria Math" w:hAnsi="Cambria Math"/>
          </w:rPr>
          <m:t>2.5V</m:t>
        </m:r>
      </m:oMath>
      <w:r>
        <w:t xml:space="preserve"> a </w:t>
      </w:r>
      <m:oMath>
        <m:r>
          <w:rPr>
            <w:rFonts w:ascii="Cambria Math" w:hAnsi="Cambria Math"/>
          </w:rPr>
          <m:t>3.5V</m:t>
        </m:r>
      </m:oMath>
      <w:r>
        <w:t>. Posteriormente, el comportamiento de la resistencia parece estabilizarse; sin embargo, un análisis más detallado revela que los valores no son idénticos entre rondas.</w:t>
      </w:r>
    </w:p>
    <w:p w14:paraId="3C0A3AE4" w14:textId="77777777" w:rsidR="00AD434F" w:rsidRDefault="00000000">
      <w:pPr>
        <w:pStyle w:val="Textoindependiente"/>
      </w:pPr>
      <w:r>
        <w:t xml:space="preserve">Por este motivo, se realizó un análisis adicional restringiendo el rango de voltaje entre </w:t>
      </w:r>
      <m:oMath>
        <m:r>
          <w:rPr>
            <w:rFonts w:ascii="Cambria Math" w:hAnsi="Cambria Math"/>
          </w:rPr>
          <m:t>3.5V</m:t>
        </m:r>
      </m:oMath>
      <w:r>
        <w:t xml:space="preserve"> y </w:t>
      </w:r>
      <m:oMath>
        <m:r>
          <w:rPr>
            <w:rFonts w:ascii="Cambria Math" w:hAnsi="Cambria Math"/>
          </w:rPr>
          <m:t>5V</m:t>
        </m:r>
      </m:oMath>
      <w:r>
        <w:t>, con el objetivo de observar con mayor claridad las variaciones existentes. La Figura 7 y Figura 8 muestran este comportamiento para ambos experimentos.</w:t>
      </w:r>
    </w:p>
    <w:p w14:paraId="3C0A3AE5" w14:textId="77777777" w:rsidR="00AD434F" w:rsidRDefault="00000000">
      <w:pPr>
        <w:pStyle w:val="CaptionedFigure"/>
      </w:pPr>
      <w:bookmarkStart w:id="18" w:name="fig:vr_3_5_exp1"/>
      <w:bookmarkStart w:id="19" w:name="fig:VR-comp_3_5"/>
      <w:r>
        <w:lastRenderedPageBreak/>
        <w:drawing>
          <wp:inline distT="0" distB="0" distL="0" distR="0" wp14:anchorId="3C0A3B2F" wp14:editId="3C0A3B30">
            <wp:extent cx="4160520" cy="2514514"/>
            <wp:effectExtent l="0" t="0" r="0" b="0"/>
            <wp:docPr id="58" name="Picture" descr="Figura 7: Voltaje vs Resistencia – Experimento 1 (3.5–5 V)."/>
            <wp:cNvGraphicFramePr/>
            <a:graphic xmlns:a="http://schemas.openxmlformats.org/drawingml/2006/main">
              <a:graphicData uri="http://schemas.openxmlformats.org/drawingml/2006/picture">
                <pic:pic xmlns:pic="http://schemas.openxmlformats.org/drawingml/2006/picture">
                  <pic:nvPicPr>
                    <pic:cNvPr id="59" name="Picture" descr="figures/V_vs_R_EXP1_3.5_5.png"/>
                    <pic:cNvPicPr>
                      <a:picLocks noChangeAspect="1" noChangeArrowheads="1"/>
                    </pic:cNvPicPr>
                  </pic:nvPicPr>
                  <pic:blipFill>
                    <a:blip r:embed="rId11"/>
                    <a:stretch>
                      <a:fillRect/>
                    </a:stretch>
                  </pic:blipFill>
                  <pic:spPr bwMode="auto">
                    <a:xfrm>
                      <a:off x="0" y="0"/>
                      <a:ext cx="4160520" cy="2514514"/>
                    </a:xfrm>
                    <a:prstGeom prst="rect">
                      <a:avLst/>
                    </a:prstGeom>
                    <a:noFill/>
                    <a:ln w="9525">
                      <a:noFill/>
                      <a:headEnd/>
                      <a:tailEnd/>
                    </a:ln>
                  </pic:spPr>
                </pic:pic>
              </a:graphicData>
            </a:graphic>
          </wp:inline>
        </w:drawing>
      </w:r>
    </w:p>
    <w:p w14:paraId="3C0A3AE6" w14:textId="77777777" w:rsidR="00AD434F" w:rsidRDefault="00000000">
      <w:pPr>
        <w:pStyle w:val="ImageCaption"/>
      </w:pPr>
      <w:r>
        <w:t>Figura 7: Voltaje vs Resistencia – Experimento 1 (3.5–5 V).</w:t>
      </w:r>
    </w:p>
    <w:p w14:paraId="3C0A3AE7" w14:textId="77777777" w:rsidR="00AD434F" w:rsidRDefault="00000000">
      <w:pPr>
        <w:pStyle w:val="CaptionedFigure"/>
      </w:pPr>
      <w:bookmarkStart w:id="20" w:name="fig:vr_3_5_exp2"/>
      <w:bookmarkEnd w:id="18"/>
      <w:r>
        <w:drawing>
          <wp:inline distT="0" distB="0" distL="0" distR="0" wp14:anchorId="3C0A3B31" wp14:editId="3C0A3B32">
            <wp:extent cx="4160520" cy="2553519"/>
            <wp:effectExtent l="0" t="0" r="0" b="0"/>
            <wp:docPr id="62" name="Picture" descr="Figura 8: Voltaje vs Resistencia – Experimento 2 (3.5–5 V)."/>
            <wp:cNvGraphicFramePr/>
            <a:graphic xmlns:a="http://schemas.openxmlformats.org/drawingml/2006/main">
              <a:graphicData uri="http://schemas.openxmlformats.org/drawingml/2006/picture">
                <pic:pic xmlns:pic="http://schemas.openxmlformats.org/drawingml/2006/picture">
                  <pic:nvPicPr>
                    <pic:cNvPr id="63" name="Picture" descr="figures/V_vs_R_EXP2_3.5_5.png"/>
                    <pic:cNvPicPr>
                      <a:picLocks noChangeAspect="1" noChangeArrowheads="1"/>
                    </pic:cNvPicPr>
                  </pic:nvPicPr>
                  <pic:blipFill>
                    <a:blip r:embed="rId12"/>
                    <a:stretch>
                      <a:fillRect/>
                    </a:stretch>
                  </pic:blipFill>
                  <pic:spPr bwMode="auto">
                    <a:xfrm>
                      <a:off x="0" y="0"/>
                      <a:ext cx="4160520" cy="2553519"/>
                    </a:xfrm>
                    <a:prstGeom prst="rect">
                      <a:avLst/>
                    </a:prstGeom>
                    <a:noFill/>
                    <a:ln w="9525">
                      <a:noFill/>
                      <a:headEnd/>
                      <a:tailEnd/>
                    </a:ln>
                  </pic:spPr>
                </pic:pic>
              </a:graphicData>
            </a:graphic>
          </wp:inline>
        </w:drawing>
      </w:r>
    </w:p>
    <w:p w14:paraId="3C0A3AE8" w14:textId="77777777" w:rsidR="00AD434F" w:rsidRDefault="00000000">
      <w:pPr>
        <w:pStyle w:val="ImageCaption"/>
      </w:pPr>
      <w:r>
        <w:t>Figura 8: Voltaje vs Resistencia – Experimento 2 (3.5–5 V).</w:t>
      </w:r>
    </w:p>
    <w:bookmarkEnd w:id="19"/>
    <w:bookmarkEnd w:id="20"/>
    <w:p w14:paraId="3C0A3AE9" w14:textId="77777777" w:rsidR="00AD434F" w:rsidRDefault="00000000">
      <w:pPr>
        <w:pStyle w:val="Textoindependiente"/>
      </w:pPr>
      <w:r>
        <w:t>A pesar de que los valores absolutos de resistencia son significativamente menores en este rango, se observa una variación importante entre rondas, lo que indica que el sistema no presenta un comportamiento completamente estable y que los valores de resistencia difieren conforme avanza el número de usos del electrolizador.</w:t>
      </w:r>
    </w:p>
    <w:p w14:paraId="3C0A3AEA" w14:textId="77777777" w:rsidR="00AD434F" w:rsidRDefault="00000000">
      <w:pPr>
        <w:pStyle w:val="Textoindependiente"/>
      </w:pPr>
      <w:r>
        <w:t xml:space="preserve">Finalmente, se realizó una comparación conjunta entre corriente, resistencia y temperatura respecto al voltaje aplicado en los electrodos. La Figura 9 y Figura 10 muestran esta relación dentro del rango de </w:t>
      </w:r>
      <m:oMath>
        <m:r>
          <w:rPr>
            <w:rFonts w:ascii="Cambria Math" w:hAnsi="Cambria Math"/>
          </w:rPr>
          <m:t>3.5V</m:t>
        </m:r>
      </m:oMath>
      <w:r>
        <w:t xml:space="preserve"> a </w:t>
      </w:r>
      <m:oMath>
        <m:r>
          <w:rPr>
            <w:rFonts w:ascii="Cambria Math" w:hAnsi="Cambria Math"/>
          </w:rPr>
          <m:t>5V</m:t>
        </m:r>
      </m:oMath>
      <w:r>
        <w:t xml:space="preserve"> para los </w:t>
      </w:r>
      <w:r>
        <w:rPr>
          <w:i/>
          <w:iCs/>
        </w:rPr>
        <w:t>Experimentos 1</w:t>
      </w:r>
      <w:r>
        <w:t xml:space="preserve"> y </w:t>
      </w:r>
      <w:r>
        <w:rPr>
          <w:i/>
          <w:iCs/>
        </w:rPr>
        <w:t>2</w:t>
      </w:r>
      <w:r>
        <w:t>.</w:t>
      </w:r>
    </w:p>
    <w:p w14:paraId="3C0A3AEB" w14:textId="77777777" w:rsidR="00AD434F" w:rsidRDefault="00000000">
      <w:pPr>
        <w:pStyle w:val="CaptionedFigure"/>
      </w:pPr>
      <w:bookmarkStart w:id="21" w:name="fig:vrit_exp1"/>
      <w:bookmarkStart w:id="22" w:name="fig:VRIT-comp"/>
      <w:r>
        <w:lastRenderedPageBreak/>
        <w:drawing>
          <wp:inline distT="0" distB="0" distL="0" distR="0" wp14:anchorId="3C0A3B33" wp14:editId="3C0A3B34">
            <wp:extent cx="4160520" cy="2439104"/>
            <wp:effectExtent l="0" t="0" r="0" b="0"/>
            <wp:docPr id="67" name="Picture" descr="Figura 9: Voltaje vs Corriente, Resistencia y Temperatura – Experimento 1."/>
            <wp:cNvGraphicFramePr/>
            <a:graphic xmlns:a="http://schemas.openxmlformats.org/drawingml/2006/main">
              <a:graphicData uri="http://schemas.openxmlformats.org/drawingml/2006/picture">
                <pic:pic xmlns:pic="http://schemas.openxmlformats.org/drawingml/2006/picture">
                  <pic:nvPicPr>
                    <pic:cNvPr id="68" name="Picture" descr="figures/V_vs_R_I_T_Exp2_RA.png"/>
                    <pic:cNvPicPr>
                      <a:picLocks noChangeAspect="1" noChangeArrowheads="1"/>
                    </pic:cNvPicPr>
                  </pic:nvPicPr>
                  <pic:blipFill>
                    <a:blip r:embed="rId13"/>
                    <a:stretch>
                      <a:fillRect/>
                    </a:stretch>
                  </pic:blipFill>
                  <pic:spPr bwMode="auto">
                    <a:xfrm>
                      <a:off x="0" y="0"/>
                      <a:ext cx="4160520" cy="2439104"/>
                    </a:xfrm>
                    <a:prstGeom prst="rect">
                      <a:avLst/>
                    </a:prstGeom>
                    <a:noFill/>
                    <a:ln w="9525">
                      <a:noFill/>
                      <a:headEnd/>
                      <a:tailEnd/>
                    </a:ln>
                  </pic:spPr>
                </pic:pic>
              </a:graphicData>
            </a:graphic>
          </wp:inline>
        </w:drawing>
      </w:r>
    </w:p>
    <w:p w14:paraId="3C0A3AEC" w14:textId="77777777" w:rsidR="00AD434F" w:rsidRDefault="00000000">
      <w:pPr>
        <w:pStyle w:val="ImageCaption"/>
      </w:pPr>
      <w:r>
        <w:t>Figura 9: Voltaje vs Corriente, Resistencia y Temperatura – Experimento 1.</w:t>
      </w:r>
    </w:p>
    <w:p w14:paraId="3C0A3AED" w14:textId="77777777" w:rsidR="00AD434F" w:rsidRDefault="00000000">
      <w:pPr>
        <w:pStyle w:val="CaptionedFigure"/>
      </w:pPr>
      <w:bookmarkStart w:id="23" w:name="fig:vrit_exp2"/>
      <w:bookmarkEnd w:id="21"/>
      <w:r>
        <w:drawing>
          <wp:inline distT="0" distB="0" distL="0" distR="0" wp14:anchorId="3C0A3B35" wp14:editId="3C0A3B36">
            <wp:extent cx="4160520" cy="2220677"/>
            <wp:effectExtent l="0" t="0" r="0" b="0"/>
            <wp:docPr id="71" name="Picture" descr="Figura 10: Voltaje vs Corriente, Resistencia y Temperatura – Experimento 2."/>
            <wp:cNvGraphicFramePr/>
            <a:graphic xmlns:a="http://schemas.openxmlformats.org/drawingml/2006/main">
              <a:graphicData uri="http://schemas.openxmlformats.org/drawingml/2006/picture">
                <pic:pic xmlns:pic="http://schemas.openxmlformats.org/drawingml/2006/picture">
                  <pic:nvPicPr>
                    <pic:cNvPr id="72" name="Picture" descr="figures/V_vs_R_I_T_Exp1_RA.png"/>
                    <pic:cNvPicPr>
                      <a:picLocks noChangeAspect="1" noChangeArrowheads="1"/>
                    </pic:cNvPicPr>
                  </pic:nvPicPr>
                  <pic:blipFill>
                    <a:blip r:embed="rId14"/>
                    <a:stretch>
                      <a:fillRect/>
                    </a:stretch>
                  </pic:blipFill>
                  <pic:spPr bwMode="auto">
                    <a:xfrm>
                      <a:off x="0" y="0"/>
                      <a:ext cx="4160520" cy="2220677"/>
                    </a:xfrm>
                    <a:prstGeom prst="rect">
                      <a:avLst/>
                    </a:prstGeom>
                    <a:noFill/>
                    <a:ln w="9525">
                      <a:noFill/>
                      <a:headEnd/>
                      <a:tailEnd/>
                    </a:ln>
                  </pic:spPr>
                </pic:pic>
              </a:graphicData>
            </a:graphic>
          </wp:inline>
        </w:drawing>
      </w:r>
    </w:p>
    <w:p w14:paraId="3C0A3AEE" w14:textId="77777777" w:rsidR="00AD434F" w:rsidRDefault="00000000">
      <w:pPr>
        <w:pStyle w:val="ImageCaption"/>
      </w:pPr>
      <w:r>
        <w:t>Figura 10: Voltaje vs Corriente, Resistencia y Temperatura – Experimento 2.</w:t>
      </w:r>
    </w:p>
    <w:p w14:paraId="3C0A3AEF" w14:textId="77777777" w:rsidR="00AD434F" w:rsidRDefault="00000000">
      <w:pPr>
        <w:pStyle w:val="Ttulo2"/>
      </w:pPr>
      <w:bookmarkStart w:id="24" w:name="discusiones"/>
      <w:bookmarkEnd w:id="22"/>
      <w:bookmarkEnd w:id="23"/>
      <w:r>
        <w:t>3.1 Discusiones</w:t>
      </w:r>
    </w:p>
    <w:p w14:paraId="3C0A3AF0" w14:textId="77777777" w:rsidR="00AD434F" w:rsidRDefault="00000000">
      <w:pPr>
        <w:pStyle w:val="Ttulo3"/>
      </w:pPr>
      <w:bookmarkStart w:id="25" w:name="X0366ede54f808fe613f0e045dcdb7ee54650aa8"/>
      <w:r>
        <w:t>3.1.1 Análisis de Voltaje y Corriente en los Electrodos</w:t>
      </w:r>
    </w:p>
    <w:p w14:paraId="3C0A3AF1" w14:textId="77777777" w:rsidR="00AD434F" w:rsidRDefault="00000000">
      <w:pPr>
        <w:pStyle w:val="FirstParagraph"/>
      </w:pPr>
      <w:r>
        <w:t xml:space="preserve">Diversos estudios reportan que el inicio del flujo de corriente en sistemas de electrólisis alcalina ocurre dentro del rango de </w:t>
      </w:r>
      <m:oMath>
        <m:r>
          <w:rPr>
            <w:rFonts w:ascii="Cambria Math" w:hAnsi="Cambria Math"/>
          </w:rPr>
          <m:t>1.1V</m:t>
        </m:r>
      </m:oMath>
      <w:r>
        <w:t xml:space="preserve"> a </w:t>
      </w:r>
      <m:oMath>
        <m:r>
          <w:rPr>
            <w:rFonts w:ascii="Cambria Math" w:hAnsi="Cambria Math"/>
          </w:rPr>
          <m:t>1.3V</m:t>
        </m:r>
      </m:oMath>
      <w:r>
        <w:t xml:space="preserve"> [31], comportamiento que se observa de manera consistente en las cuatro rondas de ambos experimentos. No obstante, el inicio visible de la separación de hidrógeno y oxígeno se presenta entre </w:t>
      </w:r>
      <m:oMath>
        <m:r>
          <w:rPr>
            <w:rFonts w:ascii="Cambria Math" w:hAnsi="Cambria Math"/>
          </w:rPr>
          <m:t>1.8V</m:t>
        </m:r>
      </m:oMath>
      <w:r>
        <w:t xml:space="preserve"> y </w:t>
      </w:r>
      <m:oMath>
        <m:r>
          <w:rPr>
            <w:rFonts w:ascii="Cambria Math" w:hAnsi="Cambria Math"/>
          </w:rPr>
          <m:t>1.9V</m:t>
        </m:r>
      </m:oMath>
      <w:r>
        <w:t>, mostrando una adecuada reproducibilidad experimental.</w:t>
      </w:r>
    </w:p>
    <w:p w14:paraId="3C0A3AF2" w14:textId="77777777" w:rsidR="00AD434F" w:rsidRDefault="00000000">
      <w:pPr>
        <w:pStyle w:val="Textoindependiente"/>
      </w:pPr>
      <w:r>
        <w:t>A partir de este rango de voltaje, la corriente en los electrodos aumenta de forma marcada; sin embargo, se observan diferencias apreciables entre rondas consecutivas. Dado que en cada experimento se mantuvieron constantes el par de electrodos y el electrolito, estas variaciones se asocian con cambios progresivos inducidos por la operación, compatibles con un proceso de acondicionamiento y/o degradación del sistema (electrodos–electrolito) conforme avanza la caracterización.</w:t>
      </w:r>
    </w:p>
    <w:p w14:paraId="3C0A3AF3" w14:textId="77777777" w:rsidR="00AD434F" w:rsidRDefault="00000000">
      <w:pPr>
        <w:pStyle w:val="Textoindependiente"/>
      </w:pPr>
      <w:r>
        <w:t xml:space="preserve">En el Experimento 1, la comparación entre RONDA A-20251121 y RONDA A-20251123 arrojó diferencias promedio de corriente superiores a </w:t>
      </w:r>
      <m:oMath>
        <m:r>
          <w:rPr>
            <w:rFonts w:ascii="Cambria Math" w:hAnsi="Cambria Math"/>
          </w:rPr>
          <m:t>90 </m:t>
        </m:r>
        <m:r>
          <m:rPr>
            <m:sty m:val="p"/>
          </m:rPr>
          <w:rPr>
            <w:rFonts w:ascii="Cambria Math" w:hAnsi="Cambria Math"/>
          </w:rPr>
          <m:t>mA</m:t>
        </m:r>
      </m:oMath>
      <w:r>
        <w:t xml:space="preserve">, con incrementos puntuales que alcanzaron valores cercanos a </w:t>
      </w:r>
      <m:oMath>
        <m:r>
          <w:rPr>
            <w:rFonts w:ascii="Cambria Math" w:hAnsi="Cambria Math"/>
          </w:rPr>
          <m:t>274 </m:t>
        </m:r>
        <m:r>
          <m:rPr>
            <m:sty m:val="p"/>
          </m:rPr>
          <w:rPr>
            <w:rFonts w:ascii="Cambria Math" w:hAnsi="Cambria Math"/>
          </w:rPr>
          <m:t>mA</m:t>
        </m:r>
      </m:oMath>
      <w:r>
        <w:t xml:space="preserve">. En el Experimento 2, las diferencias entre RONDA A-20251123 y RONDA C-20251124 fueron aún mayores, con promedios cercanos a </w:t>
      </w:r>
      <m:oMath>
        <m:r>
          <w:rPr>
            <w:rFonts w:ascii="Cambria Math" w:hAnsi="Cambria Math"/>
          </w:rPr>
          <m:t>250 </m:t>
        </m:r>
        <m:r>
          <m:rPr>
            <m:sty m:val="p"/>
          </m:rPr>
          <w:rPr>
            <w:rFonts w:ascii="Cambria Math" w:hAnsi="Cambria Math"/>
          </w:rPr>
          <m:t>mA</m:t>
        </m:r>
      </m:oMath>
      <w:r>
        <w:t xml:space="preserve"> y máximos superiores a </w:t>
      </w:r>
      <m:oMath>
        <m:r>
          <w:rPr>
            <w:rFonts w:ascii="Cambria Math" w:hAnsi="Cambria Math"/>
          </w:rPr>
          <m:t>560 </m:t>
        </m:r>
        <m:r>
          <m:rPr>
            <m:sty m:val="p"/>
          </m:rPr>
          <w:rPr>
            <w:rFonts w:ascii="Cambria Math" w:hAnsi="Cambria Math"/>
          </w:rPr>
          <m:t>mA</m:t>
        </m:r>
      </m:oMath>
      <w:r>
        <w:t>. En conjunto, estos desplazamientos entre curvas V–I evidencian que el punto de operación para un mismo voltaje no permanece invariante entre rondas, lo que respalda la necesidad de estimar parámetros equivalentes (como la resistencia aparente/instantánea) para cuantificar la evolución del estado del electrolizador a lo largo del uso.</w:t>
      </w:r>
    </w:p>
    <w:p w14:paraId="3C0A3AF4" w14:textId="77777777" w:rsidR="00AD434F" w:rsidRDefault="00000000">
      <w:pPr>
        <w:pStyle w:val="Ttulo3"/>
      </w:pPr>
      <w:bookmarkStart w:id="26" w:name="Xfad657b1ad9a0fbfddd469b0c37e5248ab4fde2"/>
      <w:bookmarkEnd w:id="25"/>
      <w:r>
        <w:lastRenderedPageBreak/>
        <w:t>3.1.2 Análisis de Resistencia y Voltaje en los Electrodos</w:t>
      </w:r>
    </w:p>
    <w:p w14:paraId="3C0A3AF5" w14:textId="77777777" w:rsidR="00AD434F" w:rsidRDefault="00000000">
      <w:pPr>
        <w:pStyle w:val="FirstParagraph"/>
      </w:pPr>
      <w:r>
        <w:t>La resistencia eléctrica se calculó a partir de la ley de Ohm. Ecuación 2 :</w:t>
      </w:r>
    </w:p>
    <w:p w14:paraId="3C0A3AF6" w14:textId="77777777" w:rsidR="00AD434F" w:rsidRDefault="00000000">
      <w:pPr>
        <w:pStyle w:val="Textoindependiente"/>
      </w:pPr>
      <w:bookmarkStart w:id="27" w:name="eq:ley_ohm"/>
      <m:oMathPara>
        <m:oMathParaPr>
          <m:jc m:val="center"/>
        </m:oMathParaPr>
        <m:oMath>
          <m:r>
            <w:rPr>
              <w:rFonts w:ascii="Cambria Math" w:hAnsi="Cambria Math"/>
            </w:rPr>
            <m:t>R</m:t>
          </m:r>
          <m:r>
            <m:rPr>
              <m:sty m:val="p"/>
            </m:rPr>
            <w:rPr>
              <w:rFonts w:ascii="Cambria Math" w:hAnsi="Cambria Math"/>
            </w:rPr>
            <m:t>=</m:t>
          </m:r>
          <m:f>
            <m:fPr>
              <m:ctrlPr>
                <w:rPr>
                  <w:rFonts w:ascii="Cambria Math" w:hAnsi="Cambria Math"/>
                </w:rPr>
              </m:ctrlPr>
            </m:fPr>
            <m:num>
              <m:r>
                <w:rPr>
                  <w:rFonts w:ascii="Cambria Math" w:hAnsi="Cambria Math"/>
                </w:rPr>
                <m:t>V</m:t>
              </m:r>
            </m:num>
            <m:den>
              <m:r>
                <w:rPr>
                  <w:rFonts w:ascii="Cambria Math" w:hAnsi="Cambria Math"/>
                </w:rPr>
                <m:t>I</m:t>
              </m:r>
            </m:den>
          </m:f>
          <m:r>
            <w:rPr>
              <w:rFonts w:ascii="Cambria Math" w:hAnsi="Cambria Math"/>
            </w:rPr>
            <m:t>  </m:t>
          </m:r>
          <m:r>
            <m:rPr>
              <m:sty m:val="p"/>
            </m:rPr>
            <w:rPr>
              <w:rFonts w:ascii="Cambria Math" w:hAnsi="Cambria Math"/>
            </w:rPr>
            <m:t>(</m:t>
          </m:r>
          <m:r>
            <w:rPr>
              <w:rFonts w:ascii="Cambria Math" w:hAnsi="Cambria Math"/>
            </w:rPr>
            <m:t>2</m:t>
          </m:r>
          <m:r>
            <m:rPr>
              <m:sty m:val="p"/>
            </m:rPr>
            <w:rPr>
              <w:rFonts w:ascii="Cambria Math" w:hAnsi="Cambria Math"/>
            </w:rPr>
            <m:t>)</m:t>
          </m:r>
        </m:oMath>
      </m:oMathPara>
      <w:bookmarkEnd w:id="27"/>
    </w:p>
    <w:p w14:paraId="3C0A3AF7" w14:textId="77777777" w:rsidR="00AD434F" w:rsidRDefault="00000000">
      <w:pPr>
        <w:pStyle w:val="FirstParagraph"/>
      </w:pPr>
      <w:r>
        <w:t xml:space="preserve">Al inicio del estudio, cuando la corriente es prácticamente nula, el cociente </w:t>
      </w:r>
      <m:oMath>
        <m:r>
          <w:rPr>
            <w:rFonts w:ascii="Cambria Math" w:hAnsi="Cambria Math"/>
          </w:rPr>
          <m:t>R</m:t>
        </m:r>
        <m:r>
          <m:rPr>
            <m:sty m:val="p"/>
          </m:rPr>
          <w:rPr>
            <w:rFonts w:ascii="Cambria Math" w:hAnsi="Cambria Math"/>
          </w:rPr>
          <m:t>=</m:t>
        </m:r>
        <m:r>
          <w:rPr>
            <w:rFonts w:ascii="Cambria Math" w:hAnsi="Cambria Math"/>
          </w:rPr>
          <m:t>V</m:t>
        </m:r>
        <m:r>
          <m:rPr>
            <m:sty m:val="p"/>
          </m:rPr>
          <w:rPr>
            <w:rFonts w:ascii="Cambria Math" w:hAnsi="Cambria Math"/>
          </w:rPr>
          <m:t>/</m:t>
        </m:r>
        <m:r>
          <w:rPr>
            <w:rFonts w:ascii="Cambria Math" w:hAnsi="Cambria Math"/>
          </w:rPr>
          <m:t>I</m:t>
        </m:r>
      </m:oMath>
      <w:r>
        <w:t xml:space="preserve"> tiende a valores muy elevados, lo que se refleja en resistencias aparentes altas. Una vez superada la región de conducción y al iniciar de manera observable la generación de gas, la resistencia aparente presenta una caída abrupta. En el Experimento 1, para la RONDA A-20251121 y dentro del intervalo de </w:t>
      </w:r>
      <m:oMath>
        <m:r>
          <w:rPr>
            <w:rFonts w:ascii="Cambria Math" w:hAnsi="Cambria Math"/>
          </w:rPr>
          <m:t>1.8</m:t>
        </m:r>
      </m:oMath>
      <w:r>
        <w:t xml:space="preserve"> a </w:t>
      </w:r>
      <m:oMath>
        <m:r>
          <w:rPr>
            <w:rFonts w:ascii="Cambria Math" w:hAnsi="Cambria Math"/>
          </w:rPr>
          <m:t>2.5 </m:t>
        </m:r>
        <m:r>
          <m:rPr>
            <m:sty m:val="p"/>
          </m:rPr>
          <w:rPr>
            <w:rFonts w:ascii="Cambria Math" w:hAnsi="Cambria Math"/>
          </w:rPr>
          <m:t>V</m:t>
        </m:r>
      </m:oMath>
      <w:r>
        <w:t xml:space="preserve">, se observó una reducción del </w:t>
      </w:r>
      <m:oMath>
        <m:r>
          <w:rPr>
            <w:rFonts w:ascii="Cambria Math" w:hAnsi="Cambria Math"/>
          </w:rPr>
          <m:t>99.77</m:t>
        </m:r>
      </m:oMath>
      <w:r>
        <w:t xml:space="preserve">; de forma comparable, en el Experimento 2 la RONDA A-20251123 mostró una reducción del </w:t>
      </w:r>
      <m:oMath>
        <m:r>
          <w:rPr>
            <w:rFonts w:ascii="Cambria Math" w:hAnsi="Cambria Math"/>
          </w:rPr>
          <m:t>99.76</m:t>
        </m:r>
      </m:oMath>
      <w:r>
        <w:t xml:space="preserve"> en el mismo rango, lo que sugiere un comportamiento consistente entre ambos casos.</w:t>
      </w:r>
    </w:p>
    <w:p w14:paraId="3C0A3AF8" w14:textId="77777777" w:rsidR="00AD434F" w:rsidRDefault="00000000">
      <w:pPr>
        <w:pStyle w:val="Textoindependiente"/>
      </w:pPr>
      <w:r>
        <w:t xml:space="preserve">Aunque las Figuras Figura 5 y Figura 6 sugieren una estabilización aparente de la resistencia en la región de operación, un análisis detallado del intervalo de </w:t>
      </w:r>
      <m:oMath>
        <m:r>
          <w:rPr>
            <w:rFonts w:ascii="Cambria Math" w:hAnsi="Cambria Math"/>
          </w:rPr>
          <m:t>3.5</m:t>
        </m:r>
      </m:oMath>
      <w:r>
        <w:t xml:space="preserve"> a </w:t>
      </w:r>
      <m:oMath>
        <m:r>
          <w:rPr>
            <w:rFonts w:ascii="Cambria Math" w:hAnsi="Cambria Math"/>
          </w:rPr>
          <m:t>5.0 </m:t>
        </m:r>
        <m:r>
          <m:rPr>
            <m:sty m:val="p"/>
          </m:rPr>
          <w:rPr>
            <w:rFonts w:ascii="Cambria Math" w:hAnsi="Cambria Math"/>
          </w:rPr>
          <m:t>V</m:t>
        </m:r>
      </m:oMath>
      <w:r>
        <w:t xml:space="preserve"> evidencia diferencias consistentes entre la primera y la última ronda. En el Experimento 1 se obtuvo una diferencia promedio de </w:t>
      </w:r>
      <m:oMath>
        <m:r>
          <w:rPr>
            <w:rFonts w:ascii="Cambria Math" w:hAnsi="Cambria Math"/>
          </w:rPr>
          <m:t>23.63 </m:t>
        </m:r>
        <m:r>
          <m:rPr>
            <m:sty m:val="p"/>
          </m:rPr>
          <w:rPr>
            <w:rFonts w:ascii="Cambria Math" w:hAnsi="Cambria Math"/>
          </w:rPr>
          <m:t>mΩ</m:t>
        </m:r>
      </m:oMath>
      <w:r>
        <w:t xml:space="preserve">, mientras que en el Experimento 2 la variación promedio alcanzó </w:t>
      </w:r>
      <m:oMath>
        <m:r>
          <w:rPr>
            <w:rFonts w:ascii="Cambria Math" w:hAnsi="Cambria Math"/>
          </w:rPr>
          <m:t>145.56 </m:t>
        </m:r>
        <m:r>
          <m:rPr>
            <m:sty m:val="p"/>
          </m:rPr>
          <w:rPr>
            <w:rFonts w:ascii="Cambria Math" w:hAnsi="Cambria Math"/>
          </w:rPr>
          <m:t>mΩ</m:t>
        </m:r>
      </m:oMath>
      <w:r>
        <w:t xml:space="preserve">. Aunque estos valores podrían parecer pequeños en magnitud, se traducen en cambios de voltaje/corriente significativos y, por tanto, en variaciones claramente detectables en un mismo punto de polarización. En consecuencia, la “convergencia” visual de </w:t>
      </w:r>
      <m:oMath>
        <m:r>
          <w:rPr>
            <w:rFonts w:ascii="Cambria Math" w:hAnsi="Cambria Math"/>
          </w:rPr>
          <m:t>R</m:t>
        </m:r>
      </m:oMath>
      <w:r>
        <w:t xml:space="preserve"> no implica invarianza del sistema: incluso desviaciones de milióhms capturan cambios eléctricos significativos entre rondas, particularmente pronunciados en el segundo experimento.</w:t>
      </w:r>
    </w:p>
    <w:p w14:paraId="3C0A3AF9" w14:textId="77777777" w:rsidR="00AD434F" w:rsidRDefault="00000000">
      <w:pPr>
        <w:pStyle w:val="Ttulo3"/>
      </w:pPr>
      <w:bookmarkStart w:id="28" w:name="X20276ea0f336651f74a2b7031778630396fbd63"/>
      <w:bookmarkEnd w:id="26"/>
      <w:r>
        <w:t>3.1.3 Análisis de Corriente, Resistencia y Temperatura</w:t>
      </w:r>
    </w:p>
    <w:p w14:paraId="3C0A3AFA" w14:textId="77777777" w:rsidR="00AD434F" w:rsidRDefault="00000000">
      <w:pPr>
        <w:pStyle w:val="FirstParagraph"/>
      </w:pPr>
      <w:r>
        <w:t>Estudios previos reportan que el aumento de la temperatura del electrolito favorece el flujo de corriente y reduce la resistencia del sistema [31]. Este comportamiento se observa claramente en las figuras Figura 9 y Figura 10, donde la resistencia disminuye a medida que aumenta la temperatura.</w:t>
      </w:r>
    </w:p>
    <w:p w14:paraId="3C0A3AFB" w14:textId="77777777" w:rsidR="00AD434F" w:rsidRDefault="00000000">
      <w:pPr>
        <w:pStyle w:val="Textoindependiente"/>
      </w:pPr>
      <w:r>
        <w:t xml:space="preserve">En el </w:t>
      </w:r>
      <w:r>
        <w:rPr>
          <w:i/>
          <w:iCs/>
        </w:rPr>
        <w:t>Experimento 1</w:t>
      </w:r>
      <w:r>
        <w:t xml:space="preserve">, la resistencia se redujo de </w:t>
      </w:r>
      <m:oMath>
        <m:r>
          <w:rPr>
            <w:rFonts w:ascii="Cambria Math" w:hAnsi="Cambria Math"/>
          </w:rPr>
          <m:t>1.75</m:t>
        </m:r>
        <m:r>
          <m:rPr>
            <m:sty m:val="p"/>
          </m:rPr>
          <w:rPr>
            <w:rFonts w:ascii="Cambria Math" w:hAnsi="Cambria Math"/>
          </w:rPr>
          <m:t>Ω</m:t>
        </m:r>
      </m:oMath>
      <w:r>
        <w:t xml:space="preserve"> a </w:t>
      </w:r>
      <m:oMath>
        <m:r>
          <w:rPr>
            <w:rFonts w:ascii="Cambria Math" w:hAnsi="Cambria Math"/>
          </w:rPr>
          <m:t>0.95</m:t>
        </m:r>
        <m:r>
          <m:rPr>
            <m:sty m:val="p"/>
          </m:rPr>
          <w:rPr>
            <w:rFonts w:ascii="Cambria Math" w:hAnsi="Cambria Math"/>
          </w:rPr>
          <m:t>Ω</m:t>
        </m:r>
      </m:oMath>
      <w:r>
        <w:t xml:space="preserve">, lo que representa una disminución del </w:t>
      </w:r>
      <m:oMath>
        <m:r>
          <w:rPr>
            <w:rFonts w:ascii="Cambria Math" w:hAnsi="Cambria Math"/>
          </w:rPr>
          <m:t>45.68</m:t>
        </m:r>
        <m:r>
          <m:rPr>
            <m:sty m:val="p"/>
          </m:rPr>
          <w:rPr>
            <w:rFonts w:ascii="Cambria Math" w:hAnsi="Cambria Math"/>
          </w:rPr>
          <m:t>%</m:t>
        </m:r>
      </m:oMath>
      <w:r>
        <w:t xml:space="preserve">, acompañada de un incremento de la temperatura de </w:t>
      </w:r>
      <m:oMath>
        <m:r>
          <w:rPr>
            <w:rFonts w:ascii="Cambria Math" w:hAnsi="Cambria Math"/>
          </w:rPr>
          <m:t>8.58</m:t>
        </m:r>
        <m:r>
          <m:rPr>
            <m:sty m:val="p"/>
          </m:rPr>
          <w:rPr>
            <w:rFonts w:ascii="Cambria Math" w:hAnsi="Cambria Math"/>
          </w:rPr>
          <m:t>°</m:t>
        </m:r>
        <m:r>
          <w:rPr>
            <w:rFonts w:ascii="Cambria Math" w:hAnsi="Cambria Math"/>
          </w:rPr>
          <m:t>C</m:t>
        </m:r>
      </m:oMath>
      <w:r>
        <w:t xml:space="preserve">. En el </w:t>
      </w:r>
      <w:r>
        <w:rPr>
          <w:i/>
          <w:iCs/>
        </w:rPr>
        <w:t>Experimento 2</w:t>
      </w:r>
      <w:r>
        <w:t xml:space="preserve">, la resistencia disminuyó de </w:t>
      </w:r>
      <m:oMath>
        <m:r>
          <w:rPr>
            <w:rFonts w:ascii="Cambria Math" w:hAnsi="Cambria Math"/>
          </w:rPr>
          <m:t>1.39</m:t>
        </m:r>
        <m:r>
          <m:rPr>
            <m:sty m:val="p"/>
          </m:rPr>
          <w:rPr>
            <w:rFonts w:ascii="Cambria Math" w:hAnsi="Cambria Math"/>
          </w:rPr>
          <m:t>Ω</m:t>
        </m:r>
      </m:oMath>
      <w:r>
        <w:t xml:space="preserve"> a </w:t>
      </w:r>
      <m:oMath>
        <m:r>
          <w:rPr>
            <w:rFonts w:ascii="Cambria Math" w:hAnsi="Cambria Math"/>
          </w:rPr>
          <m:t>0.77</m:t>
        </m:r>
        <m:r>
          <m:rPr>
            <m:sty m:val="p"/>
          </m:rPr>
          <w:rPr>
            <w:rFonts w:ascii="Cambria Math" w:hAnsi="Cambria Math"/>
          </w:rPr>
          <m:t>Ω</m:t>
        </m:r>
      </m:oMath>
      <w:r>
        <w:t xml:space="preserve">, equivalente a una reducción del </w:t>
      </w:r>
      <m:oMath>
        <m:r>
          <w:rPr>
            <w:rFonts w:ascii="Cambria Math" w:hAnsi="Cambria Math"/>
          </w:rPr>
          <m:t>44.95</m:t>
        </m:r>
        <m:r>
          <m:rPr>
            <m:sty m:val="p"/>
          </m:rPr>
          <w:rPr>
            <w:rFonts w:ascii="Cambria Math" w:hAnsi="Cambria Math"/>
          </w:rPr>
          <m:t>%</m:t>
        </m:r>
      </m:oMath>
      <w:r>
        <w:t xml:space="preserve">, con un incremento térmico de </w:t>
      </w:r>
      <m:oMath>
        <m:r>
          <w:rPr>
            <w:rFonts w:ascii="Cambria Math" w:hAnsi="Cambria Math"/>
          </w:rPr>
          <m:t>8.96</m:t>
        </m:r>
        <m:r>
          <m:rPr>
            <m:sty m:val="p"/>
          </m:rPr>
          <w:rPr>
            <w:rFonts w:ascii="Cambria Math" w:hAnsi="Cambria Math"/>
          </w:rPr>
          <m:t>°</m:t>
        </m:r>
        <m:r>
          <w:rPr>
            <w:rFonts w:ascii="Cambria Math" w:hAnsi="Cambria Math"/>
          </w:rPr>
          <m:t>C</m:t>
        </m:r>
      </m:oMath>
      <w:r>
        <w:t>. La similitud de estos resultados confirma la adecuada reproducibilidad experimental.</w:t>
      </w:r>
    </w:p>
    <w:p w14:paraId="3C0A3AFC" w14:textId="77777777" w:rsidR="00AD434F" w:rsidRDefault="00000000">
      <w:pPr>
        <w:pStyle w:val="Ttulo1"/>
      </w:pPr>
      <w:bookmarkStart w:id="29" w:name="conclusiones"/>
      <w:bookmarkEnd w:id="10"/>
      <w:bookmarkEnd w:id="24"/>
      <w:bookmarkEnd w:id="28"/>
      <w:r>
        <w:t>4. Conclusiones</w:t>
      </w:r>
    </w:p>
    <w:p w14:paraId="3C0A3AFD" w14:textId="77777777" w:rsidR="00AD434F" w:rsidRDefault="00000000">
      <w:pPr>
        <w:pStyle w:val="FirstParagraph"/>
      </w:pPr>
      <w:r>
        <w:t xml:space="preserve">El presente trabajo permitió analizar de manera sistemática la variación de la resistencia eléctrica en una celda de electrólisis alcalina mediante el estudio de curvas de polarización </w:t>
      </w:r>
      <m:oMath>
        <m:r>
          <w:rPr>
            <w:rFonts w:ascii="Cambria Math" w:hAnsi="Cambria Math"/>
          </w:rPr>
          <m:t>V</m:t>
        </m:r>
      </m:oMath>
      <w:r>
        <w:t>–</w:t>
      </w:r>
      <m:oMath>
        <m:r>
          <w:rPr>
            <w:rFonts w:ascii="Cambria Math" w:hAnsi="Cambria Math"/>
          </w:rPr>
          <m:t>I</m:t>
        </m:r>
      </m:oMath>
      <w:r>
        <w:t>, empleando instrumentación de alta resolución y un esquema de adquisición automatizado. A partir de los resultados obtenidos, se evidenció que el monitoreo continuo de variables eléctricas fundamentales constituye una herramienta efectiva para evaluar el comportamiento dinámico del sistema en condiciones reales de operación.</w:t>
      </w:r>
    </w:p>
    <w:p w14:paraId="3C0A3AFE" w14:textId="4C63CE01" w:rsidR="00AD434F" w:rsidRDefault="00000000">
      <w:pPr>
        <w:pStyle w:val="Textoindependiente"/>
      </w:pPr>
      <w:r>
        <w:t xml:space="preserve">El análisis de las curvas </w:t>
      </w:r>
      <m:oMath>
        <m:r>
          <w:rPr>
            <w:rFonts w:ascii="Cambria Math" w:hAnsi="Cambria Math"/>
          </w:rPr>
          <m:t>V</m:t>
        </m:r>
        <m:r>
          <m:rPr>
            <m:sty m:val="p"/>
          </m:rPr>
          <w:rPr>
            <w:rFonts w:ascii="Cambria Math" w:hAnsi="Cambria Math"/>
          </w:rPr>
          <m:t>-</m:t>
        </m:r>
        <m:r>
          <w:rPr>
            <w:rFonts w:ascii="Cambria Math" w:hAnsi="Cambria Math"/>
          </w:rPr>
          <m:t>I</m:t>
        </m:r>
      </m:oMath>
      <w:r>
        <w:t xml:space="preserve"> mostró una alta reproducibilidad en el voltaje de activación del sistema, identificándose de manera consistente el inicio del flujo de corriente dentro del rango de </w:t>
      </w:r>
      <m:oMath>
        <m:r>
          <w:rPr>
            <w:rFonts w:ascii="Cambria Math" w:hAnsi="Cambria Math"/>
          </w:rPr>
          <m:t>1.1V</m:t>
        </m:r>
      </m:oMath>
      <w:r>
        <w:t xml:space="preserve"> a </w:t>
      </w:r>
      <m:oMath>
        <m:r>
          <w:rPr>
            <w:rFonts w:ascii="Cambria Math" w:hAnsi="Cambria Math"/>
          </w:rPr>
          <m:t>1.3V</m:t>
        </m:r>
      </m:oMath>
      <w:r>
        <w:t xml:space="preserve">, y una generación de gas claramente observable a partir de </w:t>
      </w:r>
      <m:oMath>
        <m:r>
          <w:rPr>
            <w:rFonts w:ascii="Cambria Math" w:hAnsi="Cambria Math"/>
          </w:rPr>
          <m:t>1.8V</m:t>
        </m:r>
      </m:oMath>
      <w:r>
        <w:t xml:space="preserve"> a </w:t>
      </w:r>
      <m:oMath>
        <m:r>
          <w:rPr>
            <w:rFonts w:ascii="Cambria Math" w:hAnsi="Cambria Math"/>
          </w:rPr>
          <m:t>1.9V</m:t>
        </m:r>
      </m:oMath>
      <w:r>
        <w:t xml:space="preserve"> en todas las rondas correspondientes a los </w:t>
      </w:r>
      <w:r>
        <w:rPr>
          <w:i/>
          <w:iCs/>
        </w:rPr>
        <w:t>Experimentos 1</w:t>
      </w:r>
      <w:r>
        <w:t xml:space="preserve"> y </w:t>
      </w:r>
      <w:r>
        <w:rPr>
          <w:i/>
          <w:iCs/>
        </w:rPr>
        <w:t>2</w:t>
      </w:r>
      <w:r>
        <w:t xml:space="preserve"> (Figuras </w:t>
      </w:r>
      <w:r w:rsidR="00133794">
        <w:t>3</w:t>
      </w:r>
      <w:r>
        <w:t xml:space="preserve"> y </w:t>
      </w:r>
      <w:r w:rsidR="00133794">
        <w:t>4</w:t>
      </w:r>
      <w:r>
        <w:t xml:space="preserve">). No obstante, a partir de este punto se observaron diferencias significativas en la magnitud de la corriente entre rondas consecutivas. Estas variaciones, que alcanzaron diferencias máximas superiores a </w:t>
      </w:r>
      <m:oMath>
        <m:r>
          <w:rPr>
            <w:rFonts w:ascii="Cambria Math" w:hAnsi="Cambria Math"/>
          </w:rPr>
          <m:t>500mA</m:t>
        </m:r>
      </m:oMath>
      <w:r>
        <w:t xml:space="preserve"> entre rondas, evidencian el efecto acumulativo de la degradación de los componentes del sistema sobre su capacidad de conducción eléctrica.</w:t>
      </w:r>
    </w:p>
    <w:p w14:paraId="3C0A3AFF" w14:textId="7F635288" w:rsidR="00AD434F" w:rsidRDefault="00000000">
      <w:pPr>
        <w:pStyle w:val="Textoindependiente"/>
      </w:pPr>
      <w:r>
        <w:t xml:space="preserve">El comportamiento de la resistencia eléctrica, calculada mediante la Ley de Ohm, confirmó una caída abrupta al superar la barrera de conducción, registrándose reducciones superiores al </w:t>
      </w:r>
      <m:oMath>
        <m:r>
          <w:rPr>
            <w:rFonts w:ascii="Cambria Math" w:hAnsi="Cambria Math"/>
          </w:rPr>
          <m:t>99.7</m:t>
        </m:r>
      </m:oMath>
      <w:r>
        <w:t xml:space="preserve"> dentro del rango de </w:t>
      </w:r>
      <m:oMath>
        <m:r>
          <w:rPr>
            <w:rFonts w:ascii="Cambria Math" w:hAnsi="Cambria Math"/>
          </w:rPr>
          <m:t>1.8</m:t>
        </m:r>
        <m:r>
          <m:rPr>
            <m:sty m:val="p"/>
          </m:rPr>
          <w:rPr>
            <w:rFonts w:ascii="Cambria Math" w:hAnsi="Cambria Math"/>
          </w:rPr>
          <m:t>,</m:t>
        </m:r>
        <m:r>
          <m:rPr>
            <m:nor/>
          </m:rPr>
          <m:t>V</m:t>
        </m:r>
      </m:oMath>
      <w:r>
        <w:t xml:space="preserve"> a </w:t>
      </w:r>
      <m:oMath>
        <m:r>
          <w:rPr>
            <w:rFonts w:ascii="Cambria Math" w:hAnsi="Cambria Math"/>
          </w:rPr>
          <m:t>2.5</m:t>
        </m:r>
        <m:r>
          <m:rPr>
            <m:sty m:val="p"/>
          </m:rPr>
          <w:rPr>
            <w:rFonts w:ascii="Cambria Math" w:hAnsi="Cambria Math"/>
          </w:rPr>
          <m:t>,</m:t>
        </m:r>
        <m:r>
          <m:rPr>
            <m:nor/>
          </m:rPr>
          <m:t>V</m:t>
        </m:r>
      </m:oMath>
      <w:r>
        <w:t xml:space="preserve"> en ambos experimentos. Este resultado refleja la transición desde un régimen previo a la electrólisis activa hacia una condición dominada por procesos electroquímicos, en la que las pérdidas óhmicas adquieren un comportamiento más controlado. Aunque las gráficas globales sugieren una aparente estabilización de la resistencia a voltajes superiores, el análisis detallado en el rango de </w:t>
      </w:r>
      <m:oMath>
        <m:r>
          <w:rPr>
            <w:rFonts w:ascii="Cambria Math" w:hAnsi="Cambria Math"/>
          </w:rPr>
          <m:t>3.5</m:t>
        </m:r>
        <m:r>
          <m:rPr>
            <m:sty m:val="p"/>
          </m:rPr>
          <w:rPr>
            <w:rFonts w:ascii="Cambria Math" w:hAnsi="Cambria Math"/>
          </w:rPr>
          <m:t>,</m:t>
        </m:r>
        <m:r>
          <m:rPr>
            <m:nor/>
          </m:rPr>
          <m:t>V</m:t>
        </m:r>
      </m:oMath>
      <w:r>
        <w:t xml:space="preserve"> a </w:t>
      </w:r>
      <m:oMath>
        <m:r>
          <w:rPr>
            <w:rFonts w:ascii="Cambria Math" w:hAnsi="Cambria Math"/>
          </w:rPr>
          <m:t>5</m:t>
        </m:r>
        <m:r>
          <m:rPr>
            <m:sty m:val="p"/>
          </m:rPr>
          <w:rPr>
            <w:rFonts w:ascii="Cambria Math" w:hAnsi="Cambria Math"/>
          </w:rPr>
          <m:t>,</m:t>
        </m:r>
        <m:r>
          <m:rPr>
            <m:nor/>
          </m:rPr>
          <m:t>V</m:t>
        </m:r>
      </m:oMath>
      <w:r>
        <w:t xml:space="preserve"> (</w:t>
      </w:r>
      <w:r w:rsidRPr="00133794">
        <w:t xml:space="preserve">Figuras </w:t>
      </w:r>
      <w:r w:rsidR="00133794" w:rsidRPr="00133794">
        <w:t>7 y 8</w:t>
      </w:r>
      <w:r>
        <w:t>) permite identificar variaciones sutiles pero relevantes entre rondas, con diferencias promedio del orden de decenas a cientos de mili-ohms, atribuibles al desgaste progresivo de los electrodos y a cambios en las condiciones del electrolito.</w:t>
      </w:r>
    </w:p>
    <w:p w14:paraId="3C0A3B00" w14:textId="11C6A8EB" w:rsidR="00AD434F" w:rsidRDefault="00000000">
      <w:pPr>
        <w:pStyle w:val="Textoindependiente"/>
      </w:pPr>
      <w:r>
        <w:t xml:space="preserve">Asimismo, la evaluación conjunta de resistencia, corriente y temperatura evidenció una relación inversa clara entre la resistencia eléctrica y el incremento térmico del electrolito (Figura </w:t>
      </w:r>
      <w:r w:rsidR="00133794">
        <w:t xml:space="preserve">9 </w:t>
      </w:r>
      <w:r>
        <w:t xml:space="preserve">y </w:t>
      </w:r>
      <w:r w:rsidR="00133794">
        <w:t>10</w:t>
      </w:r>
      <w:r>
        <w:t xml:space="preserve">). En ambos experimentos se observó una disminución cercana al </w:t>
      </w:r>
      <m:oMath>
        <m:r>
          <w:rPr>
            <w:rFonts w:ascii="Cambria Math" w:hAnsi="Cambria Math"/>
          </w:rPr>
          <m:t>45</m:t>
        </m:r>
        <m:r>
          <m:rPr>
            <m:sty m:val="p"/>
          </m:rPr>
          <w:rPr>
            <w:rFonts w:ascii="Cambria Math" w:hAnsi="Cambria Math"/>
          </w:rPr>
          <m:t>%</m:t>
        </m:r>
      </m:oMath>
      <w:r>
        <w:t xml:space="preserve"> de la resistencia dentro de la ventana de análisis seleccionada, acompañada de un incremento térmico de aproximadamente </w:t>
      </w:r>
      <m:oMath>
        <m:r>
          <w:rPr>
            <w:rFonts w:ascii="Cambria Math" w:hAnsi="Cambria Math"/>
          </w:rPr>
          <m:t>9</m:t>
        </m:r>
        <m:r>
          <m:rPr>
            <m:sty m:val="p"/>
          </m:rPr>
          <w:rPr>
            <w:rFonts w:ascii="Cambria Math" w:hAnsi="Cambria Math"/>
          </w:rPr>
          <m:t>°</m:t>
        </m:r>
        <m:r>
          <w:rPr>
            <w:rFonts w:ascii="Cambria Math" w:hAnsi="Cambria Math"/>
          </w:rPr>
          <m:t>C</m:t>
        </m:r>
      </m:oMath>
      <w:r>
        <w:t xml:space="preserve">, lo que confirma que el aumento de la temperatura favorece la </w:t>
      </w:r>
      <w:r>
        <w:lastRenderedPageBreak/>
        <w:t>conductividad del medio. La similitud de estos resultados entre experimentos demuestra una adecuada reproducibilidad del sistema y valida la metodología experimental empleada.</w:t>
      </w:r>
    </w:p>
    <w:p w14:paraId="3C0A3B01" w14:textId="77777777" w:rsidR="00AD434F" w:rsidRDefault="00000000">
      <w:pPr>
        <w:pStyle w:val="Textoindependiente"/>
      </w:pPr>
      <w:r>
        <w:t>En conjunto, los resultados obtenidos confirman que la resistencia eléctrica puede utilizarse como indicador indirecto del estado de la celda y de su degradación progresiva durante la operación. El enfoque propuesto, basado en el análisis de curvas de polarización y en la medición directa de variables eléctricas, ofrece una alternativa práctica y funcional para el diagnóstico y seguimiento de celdas de electrólisis alcalina en condiciones reales. Finalmente, este trabajo sienta las bases para el desarrollo de estrategias futuras de monitoreo en tiempo real, control adaptativo y optimización energética, orientadas a mejorar el desempeño y la vida útil de los sistemas de producción de hidrógeno.</w:t>
      </w:r>
    </w:p>
    <w:p w14:paraId="3C0A3B02" w14:textId="77777777" w:rsidR="00AD434F" w:rsidRDefault="00000000">
      <w:pPr>
        <w:pStyle w:val="Ttulo1"/>
      </w:pPr>
      <w:bookmarkStart w:id="30" w:name="referencias"/>
      <w:bookmarkEnd w:id="29"/>
      <w:r>
        <w:t>Referencias</w:t>
      </w:r>
    </w:p>
    <w:p w14:paraId="3C0A3B03" w14:textId="77777777" w:rsidR="00AD434F" w:rsidRPr="001D0583" w:rsidRDefault="00000000">
      <w:pPr>
        <w:pStyle w:val="Bibliografa"/>
        <w:rPr>
          <w:lang w:val="en-GB"/>
        </w:rPr>
      </w:pPr>
      <w:bookmarkStart w:id="31" w:name="ref-ref14"/>
      <w:bookmarkStart w:id="32" w:name="refs"/>
      <w:r>
        <w:t xml:space="preserve">[1] </w:t>
      </w:r>
      <w:r>
        <w:tab/>
        <w:t xml:space="preserve">J. Ramón. Morante, T. Andreu, G. García, J. Guilera, A. Taracón, y M. Torrel, </w:t>
      </w:r>
      <w:r>
        <w:rPr>
          <w:i/>
          <w:iCs/>
        </w:rPr>
        <w:t>Hidrógeno Vector energético de una economía descarbonizada</w:t>
      </w:r>
      <w:r>
        <w:t xml:space="preserve">, 2.ª ed. </w:t>
      </w:r>
      <w:r w:rsidRPr="001D0583">
        <w:rPr>
          <w:lang w:val="en-GB"/>
        </w:rPr>
        <w:t xml:space="preserve">Madrid: Fundación Naturgy. Disponible en: </w:t>
      </w:r>
      <w:hyperlink r:id="rId15">
        <w:r w:rsidRPr="001D0583">
          <w:rPr>
            <w:rStyle w:val="Hipervnculo"/>
            <w:lang w:val="en-GB"/>
          </w:rPr>
          <w:t>www.fundacionnaturgy.org</w:t>
        </w:r>
      </w:hyperlink>
    </w:p>
    <w:p w14:paraId="3C0A3B04" w14:textId="77777777" w:rsidR="00AD434F" w:rsidRPr="001D0583" w:rsidRDefault="00000000">
      <w:pPr>
        <w:pStyle w:val="Bibliografa"/>
        <w:rPr>
          <w:lang w:val="en-GB"/>
        </w:rPr>
      </w:pPr>
      <w:bookmarkStart w:id="33" w:name="ref-ref6"/>
      <w:bookmarkEnd w:id="31"/>
      <w:r w:rsidRPr="001D0583">
        <w:rPr>
          <w:lang w:val="en-GB"/>
        </w:rPr>
        <w:t xml:space="preserve">[2] </w:t>
      </w:r>
      <w:r w:rsidRPr="001D0583">
        <w:rPr>
          <w:lang w:val="en-GB"/>
        </w:rPr>
        <w:tab/>
        <w:t xml:space="preserve">M. P.V, S. Anoop, y J. S., «Experimental Investigation using an On-Board Dry Cell Electrolyzer in a CI Engine working on Dual Fuel Mode», Mumbai, India: Energy Procedia, dic. 2015, p. 8. doi: </w:t>
      </w:r>
      <w:hyperlink r:id="rId16">
        <w:r w:rsidRPr="001D0583">
          <w:rPr>
            <w:rStyle w:val="Hipervnculo"/>
            <w:lang w:val="en-GB"/>
          </w:rPr>
          <w:t>10.1016/j.egypro.2016.11.187</w:t>
        </w:r>
      </w:hyperlink>
      <w:r w:rsidRPr="001D0583">
        <w:rPr>
          <w:lang w:val="en-GB"/>
        </w:rPr>
        <w:t>.</w:t>
      </w:r>
    </w:p>
    <w:p w14:paraId="3C0A3B05" w14:textId="77777777" w:rsidR="00AD434F" w:rsidRDefault="00000000">
      <w:pPr>
        <w:pStyle w:val="Bibliografa"/>
      </w:pPr>
      <w:bookmarkStart w:id="34" w:name="ref-ref4"/>
      <w:bookmarkEnd w:id="33"/>
      <w:r>
        <w:t xml:space="preserve">[3] </w:t>
      </w:r>
      <w:r>
        <w:tab/>
        <w:t>C. Padilla, J. Abner, G. Cruz, y W. Manuel, «PRODUCCIÓN DE HIDRÓGENO POR ELECTRÓLISIS DE AGUA UTILIZANDO ENERGÍA SOLAR Y EVALUACIÓN DE SU USO COMO COMBUSTIBLE FUENTE DE ENERGÍA TÉRMICA», Tesis doctoral, Universidad del Salvador, San Salvador, 2021.</w:t>
      </w:r>
    </w:p>
    <w:p w14:paraId="3C0A3B06" w14:textId="77777777" w:rsidR="00AD434F" w:rsidRPr="001D0583" w:rsidRDefault="00000000">
      <w:pPr>
        <w:pStyle w:val="Bibliografa"/>
        <w:rPr>
          <w:lang w:val="en-GB"/>
        </w:rPr>
      </w:pPr>
      <w:bookmarkStart w:id="35" w:name="ref-ref20"/>
      <w:bookmarkEnd w:id="34"/>
      <w:r w:rsidRPr="001D0583">
        <w:rPr>
          <w:lang w:val="en-GB"/>
        </w:rPr>
        <w:t xml:space="preserve">[4] </w:t>
      </w:r>
      <w:r w:rsidRPr="001D0583">
        <w:rPr>
          <w:lang w:val="en-GB"/>
        </w:rPr>
        <w:tab/>
        <w:t xml:space="preserve">S. F. Amireh </w:t>
      </w:r>
      <w:r w:rsidRPr="001D0583">
        <w:rPr>
          <w:i/>
          <w:iCs/>
          <w:lang w:val="en-GB"/>
        </w:rPr>
        <w:t>et al.</w:t>
      </w:r>
      <w:r w:rsidRPr="001D0583">
        <w:rPr>
          <w:lang w:val="en-GB"/>
        </w:rPr>
        <w:t xml:space="preserve">, «Impact of power supply fluctuation and part load operation on the efficiency of alkaline water electrolysis», </w:t>
      </w:r>
      <w:r w:rsidRPr="001D0583">
        <w:rPr>
          <w:i/>
          <w:iCs/>
          <w:lang w:val="en-GB"/>
        </w:rPr>
        <w:t>Journal of Power Sources</w:t>
      </w:r>
      <w:r w:rsidRPr="001D0583">
        <w:rPr>
          <w:lang w:val="en-GB"/>
        </w:rPr>
        <w:t xml:space="preserve">, vol. 560, p. 232629, mar. 2023, doi: </w:t>
      </w:r>
      <w:hyperlink r:id="rId17">
        <w:r w:rsidRPr="001D0583">
          <w:rPr>
            <w:rStyle w:val="Hipervnculo"/>
            <w:lang w:val="en-GB"/>
          </w:rPr>
          <w:t>10.1016/j.jpowsour.2023.232629</w:t>
        </w:r>
      </w:hyperlink>
      <w:r w:rsidRPr="001D0583">
        <w:rPr>
          <w:lang w:val="en-GB"/>
        </w:rPr>
        <w:t>.</w:t>
      </w:r>
    </w:p>
    <w:p w14:paraId="3C0A3B07" w14:textId="77777777" w:rsidR="00AD434F" w:rsidRPr="001D0583" w:rsidRDefault="00000000">
      <w:pPr>
        <w:pStyle w:val="Bibliografa"/>
        <w:rPr>
          <w:lang w:val="en-GB"/>
        </w:rPr>
      </w:pPr>
      <w:bookmarkStart w:id="36" w:name="ref-ref22"/>
      <w:bookmarkEnd w:id="35"/>
      <w:r w:rsidRPr="001D0583">
        <w:rPr>
          <w:lang w:val="en-GB"/>
        </w:rPr>
        <w:t xml:space="preserve">[5] </w:t>
      </w:r>
      <w:r w:rsidRPr="001D0583">
        <w:rPr>
          <w:lang w:val="en-GB"/>
        </w:rPr>
        <w:tab/>
        <w:t xml:space="preserve">G. Hysa, V. Ruuskanen, A. Kosonen, M. Niemela, y L. Aarniovuori, «Effect of voltage elevation on cost and energy efficiency of power electronics in water electrolyzers», </w:t>
      </w:r>
      <w:r w:rsidRPr="001D0583">
        <w:rPr>
          <w:i/>
          <w:iCs/>
          <w:lang w:val="en-GB"/>
        </w:rPr>
        <w:t>Journal of Power Sources</w:t>
      </w:r>
      <w:r w:rsidRPr="001D0583">
        <w:rPr>
          <w:lang w:val="en-GB"/>
        </w:rPr>
        <w:t xml:space="preserve">, vol. 574, n.º 233108, 2023, doi: </w:t>
      </w:r>
      <w:hyperlink r:id="rId18">
        <w:r w:rsidRPr="001D0583">
          <w:rPr>
            <w:rStyle w:val="Hipervnculo"/>
            <w:lang w:val="en-GB"/>
          </w:rPr>
          <w:t>10.1016/j.powsour.2023.233108</w:t>
        </w:r>
      </w:hyperlink>
      <w:r w:rsidRPr="001D0583">
        <w:rPr>
          <w:lang w:val="en-GB"/>
        </w:rPr>
        <w:t>.</w:t>
      </w:r>
    </w:p>
    <w:p w14:paraId="3C0A3B08" w14:textId="77777777" w:rsidR="00AD434F" w:rsidRPr="001D0583" w:rsidRDefault="00000000">
      <w:pPr>
        <w:pStyle w:val="Bibliografa"/>
        <w:rPr>
          <w:lang w:val="en-GB"/>
        </w:rPr>
      </w:pPr>
      <w:bookmarkStart w:id="37" w:name="ref-ref29"/>
      <w:bookmarkEnd w:id="36"/>
      <w:r w:rsidRPr="001D0583">
        <w:rPr>
          <w:lang w:val="en-GB"/>
        </w:rPr>
        <w:t xml:space="preserve">[6] </w:t>
      </w:r>
      <w:r w:rsidRPr="001D0583">
        <w:rPr>
          <w:lang w:val="en-GB"/>
        </w:rPr>
        <w:tab/>
        <w:t xml:space="preserve">S. F. Amireh </w:t>
      </w:r>
      <w:r w:rsidRPr="001D0583">
        <w:rPr>
          <w:i/>
          <w:iCs/>
          <w:lang w:val="en-GB"/>
        </w:rPr>
        <w:t>et al.</w:t>
      </w:r>
      <w:r w:rsidRPr="001D0583">
        <w:rPr>
          <w:lang w:val="en-GB"/>
        </w:rPr>
        <w:t xml:space="preserve">, «Impact of power supply fluctuation and part load operation on the efficiency of alkaline water electrolysis», </w:t>
      </w:r>
      <w:r w:rsidRPr="001D0583">
        <w:rPr>
          <w:i/>
          <w:iCs/>
          <w:lang w:val="en-GB"/>
        </w:rPr>
        <w:t>Journal of Power Sources</w:t>
      </w:r>
      <w:r w:rsidRPr="001D0583">
        <w:rPr>
          <w:lang w:val="en-GB"/>
        </w:rPr>
        <w:t xml:space="preserve">, vol. 560, p. 232629, mar. 2023, doi: </w:t>
      </w:r>
      <w:hyperlink r:id="rId19">
        <w:r w:rsidRPr="001D0583">
          <w:rPr>
            <w:rStyle w:val="Hipervnculo"/>
            <w:lang w:val="en-GB"/>
          </w:rPr>
          <w:t>10.1016/j.jpowsour.2023.232629</w:t>
        </w:r>
      </w:hyperlink>
      <w:r w:rsidRPr="001D0583">
        <w:rPr>
          <w:lang w:val="en-GB"/>
        </w:rPr>
        <w:t>.</w:t>
      </w:r>
    </w:p>
    <w:p w14:paraId="3C0A3B09" w14:textId="77777777" w:rsidR="00AD434F" w:rsidRPr="001D0583" w:rsidRDefault="00000000">
      <w:pPr>
        <w:pStyle w:val="Bibliografa"/>
        <w:rPr>
          <w:lang w:val="en-GB"/>
        </w:rPr>
      </w:pPr>
      <w:bookmarkStart w:id="38" w:name="ref-ref9"/>
      <w:bookmarkEnd w:id="37"/>
      <w:r w:rsidRPr="001D0583">
        <w:rPr>
          <w:lang w:val="en-GB"/>
        </w:rPr>
        <w:t xml:space="preserve">[7] </w:t>
      </w:r>
      <w:r w:rsidRPr="001D0583">
        <w:rPr>
          <w:lang w:val="en-GB"/>
        </w:rPr>
        <w:tab/>
        <w:t xml:space="preserve">E. A. Norman, V. M. Maestre, A. Ortiz, y I. Ortiz, «Steam electrolysis for green hydrogen generation. State of the art and research perspective.», </w:t>
      </w:r>
      <w:r w:rsidRPr="001D0583">
        <w:rPr>
          <w:i/>
          <w:iCs/>
          <w:lang w:val="en-GB"/>
        </w:rPr>
        <w:t>Renewable and Sustainable Energy Reviews</w:t>
      </w:r>
      <w:r w:rsidRPr="001D0583">
        <w:rPr>
          <w:lang w:val="en-GB"/>
        </w:rPr>
        <w:t xml:space="preserve">, vol. 202, n.º 1364–321, jul. 2024, doi: </w:t>
      </w:r>
      <w:hyperlink r:id="rId20">
        <w:r w:rsidRPr="001D0583">
          <w:rPr>
            <w:rStyle w:val="Hipervnculo"/>
            <w:lang w:val="en-GB"/>
          </w:rPr>
          <w:t>10.1016/j.rser.2024.114725</w:t>
        </w:r>
      </w:hyperlink>
      <w:r w:rsidRPr="001D0583">
        <w:rPr>
          <w:lang w:val="en-GB"/>
        </w:rPr>
        <w:t>.</w:t>
      </w:r>
    </w:p>
    <w:p w14:paraId="3C0A3B0A" w14:textId="77777777" w:rsidR="00AD434F" w:rsidRPr="001D0583" w:rsidRDefault="00000000">
      <w:pPr>
        <w:pStyle w:val="Bibliografa"/>
        <w:rPr>
          <w:lang w:val="en-GB"/>
        </w:rPr>
      </w:pPr>
      <w:bookmarkStart w:id="39" w:name="ref-ref13"/>
      <w:bookmarkEnd w:id="38"/>
      <w:r w:rsidRPr="001D0583">
        <w:rPr>
          <w:lang w:val="en-GB"/>
        </w:rPr>
        <w:t xml:space="preserve">[8] </w:t>
      </w:r>
      <w:r w:rsidRPr="001D0583">
        <w:rPr>
          <w:lang w:val="en-GB"/>
        </w:rPr>
        <w:tab/>
        <w:t xml:space="preserve">M. Rashid, M. K. A. Mesfer, H. Naseem, y M. Danish, «Hydrogen Production by Water Electrolysis: A Review of Alkaline Water Electrolysis, PEM Water Electrolysis and High Temperature Water Electrolysis», </w:t>
      </w:r>
      <w:r w:rsidRPr="001D0583">
        <w:rPr>
          <w:i/>
          <w:iCs/>
          <w:lang w:val="en-GB"/>
        </w:rPr>
        <w:t>International Journal of Engineering and Advanced Technology (IJEAT)</w:t>
      </w:r>
      <w:r w:rsidRPr="001D0583">
        <w:rPr>
          <w:lang w:val="en-GB"/>
        </w:rPr>
        <w:t>, vol. 4, n.º 3, feb. 2015.</w:t>
      </w:r>
    </w:p>
    <w:p w14:paraId="3C0A3B0B" w14:textId="77777777" w:rsidR="00AD434F" w:rsidRPr="001D0583" w:rsidRDefault="00000000">
      <w:pPr>
        <w:pStyle w:val="Bibliografa"/>
        <w:rPr>
          <w:lang w:val="en-GB"/>
        </w:rPr>
      </w:pPr>
      <w:bookmarkStart w:id="40" w:name="ref-ref47"/>
      <w:bookmarkEnd w:id="39"/>
      <w:r w:rsidRPr="001D0583">
        <w:rPr>
          <w:lang w:val="en-GB"/>
        </w:rPr>
        <w:t xml:space="preserve">[9] </w:t>
      </w:r>
      <w:r w:rsidRPr="001D0583">
        <w:rPr>
          <w:lang w:val="en-GB"/>
        </w:rPr>
        <w:tab/>
        <w:t xml:space="preserve">R. Lira Garcia Barros, M. H. G. Kelleners, L. Van Bemmel, T. V. N. Van Der Leegte, J. Van Der Schaaf, y M. T. De Groot, «Elucidating the increased ohmic resistances in zero-gap alkaline water electrolysis», </w:t>
      </w:r>
      <w:r w:rsidRPr="001D0583">
        <w:rPr>
          <w:i/>
          <w:iCs/>
          <w:lang w:val="en-GB"/>
        </w:rPr>
        <w:t>Electrochimica Acta</w:t>
      </w:r>
      <w:r w:rsidRPr="001D0583">
        <w:rPr>
          <w:lang w:val="en-GB"/>
        </w:rPr>
        <w:t xml:space="preserve">, vol. 507, p. 145161, dic. 2024, doi: </w:t>
      </w:r>
      <w:hyperlink r:id="rId21">
        <w:r w:rsidRPr="001D0583">
          <w:rPr>
            <w:rStyle w:val="Hipervnculo"/>
            <w:lang w:val="en-GB"/>
          </w:rPr>
          <w:t>10.1016/j.electacta.2024.145161</w:t>
        </w:r>
      </w:hyperlink>
      <w:r w:rsidRPr="001D0583">
        <w:rPr>
          <w:lang w:val="en-GB"/>
        </w:rPr>
        <w:t>.</w:t>
      </w:r>
    </w:p>
    <w:p w14:paraId="3C0A3B0C" w14:textId="77777777" w:rsidR="00AD434F" w:rsidRPr="001D0583" w:rsidRDefault="00000000">
      <w:pPr>
        <w:pStyle w:val="Bibliografa"/>
        <w:rPr>
          <w:lang w:val="en-GB"/>
        </w:rPr>
      </w:pPr>
      <w:bookmarkStart w:id="41" w:name="ref-ref46"/>
      <w:bookmarkEnd w:id="40"/>
      <w:r w:rsidRPr="001D0583">
        <w:rPr>
          <w:lang w:val="en-GB"/>
        </w:rPr>
        <w:t xml:space="preserve">[10] </w:t>
      </w:r>
      <w:r w:rsidRPr="001D0583">
        <w:rPr>
          <w:lang w:val="en-GB"/>
        </w:rPr>
        <w:tab/>
        <w:t xml:space="preserve">M. T. De Groot y P. Vermeulen, «Advanced characterization of alkaline water electrolysis through electrochemical impedance spectroscopy and polarization curves», </w:t>
      </w:r>
      <w:r w:rsidRPr="001D0583">
        <w:rPr>
          <w:i/>
          <w:iCs/>
          <w:lang w:val="en-GB"/>
        </w:rPr>
        <w:t>Journal of Electroanalytical Chemistry</w:t>
      </w:r>
      <w:r w:rsidRPr="001D0583">
        <w:rPr>
          <w:lang w:val="en-GB"/>
        </w:rPr>
        <w:t xml:space="preserve">, vol. 974, p. 118709, dic. 2024, doi: </w:t>
      </w:r>
      <w:hyperlink r:id="rId22">
        <w:r w:rsidRPr="001D0583">
          <w:rPr>
            <w:rStyle w:val="Hipervnculo"/>
            <w:lang w:val="en-GB"/>
          </w:rPr>
          <w:t>10.1016/j.jelechem.2024.118709</w:t>
        </w:r>
      </w:hyperlink>
      <w:r w:rsidRPr="001D0583">
        <w:rPr>
          <w:lang w:val="en-GB"/>
        </w:rPr>
        <w:t>.</w:t>
      </w:r>
    </w:p>
    <w:p w14:paraId="3C0A3B0D" w14:textId="77777777" w:rsidR="00AD434F" w:rsidRPr="001D0583" w:rsidRDefault="00000000">
      <w:pPr>
        <w:pStyle w:val="Bibliografa"/>
        <w:rPr>
          <w:lang w:val="en-GB"/>
        </w:rPr>
      </w:pPr>
      <w:bookmarkStart w:id="42" w:name="ref-ref24"/>
      <w:bookmarkEnd w:id="41"/>
      <w:r w:rsidRPr="001D0583">
        <w:rPr>
          <w:lang w:val="en-GB"/>
        </w:rPr>
        <w:t xml:space="preserve">[11] </w:t>
      </w:r>
      <w:r w:rsidRPr="001D0583">
        <w:rPr>
          <w:lang w:val="en-GB"/>
        </w:rPr>
        <w:tab/>
        <w:t xml:space="preserve">B. Y. Kaplan </w:t>
      </w:r>
      <w:r w:rsidRPr="001D0583">
        <w:rPr>
          <w:i/>
          <w:iCs/>
          <w:lang w:val="en-GB"/>
        </w:rPr>
        <w:t>et al.</w:t>
      </w:r>
      <w:r w:rsidRPr="001D0583">
        <w:rPr>
          <w:lang w:val="en-GB"/>
        </w:rPr>
        <w:t xml:space="preserve">, «Hydrogen production via electrolysis: Operando monitoring and analyses», </w:t>
      </w:r>
      <w:r w:rsidRPr="001D0583">
        <w:rPr>
          <w:i/>
          <w:iCs/>
          <w:lang w:val="en-GB"/>
        </w:rPr>
        <w:t>Chem Catalysis</w:t>
      </w:r>
      <w:r w:rsidRPr="001D0583">
        <w:rPr>
          <w:lang w:val="en-GB"/>
        </w:rPr>
        <w:t xml:space="preserve">, vol. 3, n.º 5, p. 100601, 2023, doi: </w:t>
      </w:r>
      <w:hyperlink r:id="rId23">
        <w:r w:rsidRPr="001D0583">
          <w:rPr>
            <w:rStyle w:val="Hipervnculo"/>
            <w:lang w:val="en-GB"/>
          </w:rPr>
          <w:t>10.1016/j.checat.2023.100601</w:t>
        </w:r>
      </w:hyperlink>
      <w:r w:rsidRPr="001D0583">
        <w:rPr>
          <w:lang w:val="en-GB"/>
        </w:rPr>
        <w:t>.</w:t>
      </w:r>
    </w:p>
    <w:p w14:paraId="3C0A3B0E" w14:textId="77777777" w:rsidR="00AD434F" w:rsidRPr="001D0583" w:rsidRDefault="00000000">
      <w:pPr>
        <w:pStyle w:val="Bibliografa"/>
        <w:rPr>
          <w:lang w:val="en-GB"/>
        </w:rPr>
      </w:pPr>
      <w:bookmarkStart w:id="43" w:name="ref-ref36"/>
      <w:bookmarkEnd w:id="42"/>
      <w:r w:rsidRPr="001D0583">
        <w:rPr>
          <w:lang w:val="en-GB"/>
        </w:rPr>
        <w:t xml:space="preserve">[12] </w:t>
      </w:r>
      <w:r w:rsidRPr="001D0583">
        <w:rPr>
          <w:lang w:val="en-GB"/>
        </w:rPr>
        <w:tab/>
        <w:t xml:space="preserve">A. J. Bard y L. R. Faulkner, </w:t>
      </w:r>
      <w:r w:rsidRPr="001D0583">
        <w:rPr>
          <w:i/>
          <w:iCs/>
          <w:lang w:val="en-GB"/>
        </w:rPr>
        <w:t>Electrochemical methods: fundamentals and applications</w:t>
      </w:r>
      <w:r w:rsidRPr="001D0583">
        <w:rPr>
          <w:lang w:val="en-GB"/>
        </w:rPr>
        <w:t>, 2nd ed. New York: Wiley, 2001.</w:t>
      </w:r>
    </w:p>
    <w:p w14:paraId="3C0A3B0F" w14:textId="77777777" w:rsidR="00AD434F" w:rsidRPr="001D0583" w:rsidRDefault="00000000">
      <w:pPr>
        <w:pStyle w:val="Bibliografa"/>
        <w:rPr>
          <w:lang w:val="en-GB"/>
        </w:rPr>
      </w:pPr>
      <w:bookmarkStart w:id="44" w:name="ref-ref35"/>
      <w:bookmarkEnd w:id="43"/>
      <w:r w:rsidRPr="001D0583">
        <w:rPr>
          <w:lang w:val="en-GB"/>
        </w:rPr>
        <w:t xml:space="preserve">[13] </w:t>
      </w:r>
      <w:r w:rsidRPr="001D0583">
        <w:rPr>
          <w:lang w:val="en-GB"/>
        </w:rPr>
        <w:tab/>
        <w:t xml:space="preserve">L. Järvinen </w:t>
      </w:r>
      <w:r w:rsidRPr="001D0583">
        <w:rPr>
          <w:i/>
          <w:iCs/>
          <w:lang w:val="en-GB"/>
        </w:rPr>
        <w:t>et al.</w:t>
      </w:r>
      <w:r w:rsidRPr="001D0583">
        <w:rPr>
          <w:lang w:val="en-GB"/>
        </w:rPr>
        <w:t xml:space="preserve">, «Experimental study of alkaline water electrolyzer performance and frequency behavior under high frequency dynamic operation», </w:t>
      </w:r>
      <w:r w:rsidRPr="001D0583">
        <w:rPr>
          <w:i/>
          <w:iCs/>
          <w:lang w:val="en-GB"/>
        </w:rPr>
        <w:t>International Journal of Hydrogen Energy</w:t>
      </w:r>
      <w:r w:rsidRPr="001D0583">
        <w:rPr>
          <w:lang w:val="en-GB"/>
        </w:rPr>
        <w:t xml:space="preserve">, vol. 67, pp. 50-61, 2024, doi: </w:t>
      </w:r>
      <w:hyperlink r:id="rId24">
        <w:r w:rsidRPr="001D0583">
          <w:rPr>
            <w:rStyle w:val="Hipervnculo"/>
            <w:lang w:val="en-GB"/>
          </w:rPr>
          <w:t>10.1016/j.ijhydene.2024.04.093</w:t>
        </w:r>
      </w:hyperlink>
      <w:r w:rsidRPr="001D0583">
        <w:rPr>
          <w:lang w:val="en-GB"/>
        </w:rPr>
        <w:t>.</w:t>
      </w:r>
    </w:p>
    <w:p w14:paraId="3C0A3B10" w14:textId="77777777" w:rsidR="00AD434F" w:rsidRPr="001D0583" w:rsidRDefault="00000000">
      <w:pPr>
        <w:pStyle w:val="Bibliografa"/>
        <w:rPr>
          <w:lang w:val="en-GB"/>
        </w:rPr>
      </w:pPr>
      <w:bookmarkStart w:id="45" w:name="ref-ref38"/>
      <w:bookmarkEnd w:id="44"/>
      <w:r w:rsidRPr="001D0583">
        <w:rPr>
          <w:lang w:val="en-GB"/>
        </w:rPr>
        <w:t xml:space="preserve">[14] </w:t>
      </w:r>
      <w:r w:rsidRPr="001D0583">
        <w:rPr>
          <w:lang w:val="en-GB"/>
        </w:rPr>
        <w:tab/>
        <w:t xml:space="preserve">M. El-Shafie, «Hydrogen production by water electrolysis technologies: A review», </w:t>
      </w:r>
      <w:r w:rsidRPr="001D0583">
        <w:rPr>
          <w:i/>
          <w:iCs/>
          <w:lang w:val="en-GB"/>
        </w:rPr>
        <w:t>Results in Engineering</w:t>
      </w:r>
      <w:r w:rsidRPr="001D0583">
        <w:rPr>
          <w:lang w:val="en-GB"/>
        </w:rPr>
        <w:t xml:space="preserve">, vol. 20, p. 101426, dic. 2023, doi: </w:t>
      </w:r>
      <w:hyperlink r:id="rId25">
        <w:r w:rsidRPr="001D0583">
          <w:rPr>
            <w:rStyle w:val="Hipervnculo"/>
            <w:lang w:val="en-GB"/>
          </w:rPr>
          <w:t>10.1016/j.rineng.2023.101426</w:t>
        </w:r>
      </w:hyperlink>
      <w:r w:rsidRPr="001D0583">
        <w:rPr>
          <w:lang w:val="en-GB"/>
        </w:rPr>
        <w:t>.</w:t>
      </w:r>
    </w:p>
    <w:p w14:paraId="3C0A3B11" w14:textId="77777777" w:rsidR="00AD434F" w:rsidRPr="001D0583" w:rsidRDefault="00000000">
      <w:pPr>
        <w:pStyle w:val="Bibliografa"/>
        <w:rPr>
          <w:lang w:val="en-GB"/>
        </w:rPr>
      </w:pPr>
      <w:bookmarkStart w:id="46" w:name="ref-ref39"/>
      <w:bookmarkEnd w:id="45"/>
      <w:r w:rsidRPr="001D0583">
        <w:rPr>
          <w:lang w:val="en-GB"/>
        </w:rPr>
        <w:t xml:space="preserve">[15] </w:t>
      </w:r>
      <w:r w:rsidRPr="001D0583">
        <w:rPr>
          <w:lang w:val="en-GB"/>
        </w:rPr>
        <w:tab/>
        <w:t xml:space="preserve">M. T. De Groot y P. Vermeulen, «Advanced characterization of alkaline water electrolysis through electrochemical impedance spectroscopy and polarization curves», </w:t>
      </w:r>
      <w:r w:rsidRPr="001D0583">
        <w:rPr>
          <w:i/>
          <w:iCs/>
          <w:lang w:val="en-GB"/>
        </w:rPr>
        <w:t>Journal of Electroanalytical Chemistry</w:t>
      </w:r>
      <w:r w:rsidRPr="001D0583">
        <w:rPr>
          <w:lang w:val="en-GB"/>
        </w:rPr>
        <w:t xml:space="preserve">, vol. 974, n.º 118709, p. 10, oct. 2024, doi: </w:t>
      </w:r>
      <w:hyperlink r:id="rId26">
        <w:r w:rsidRPr="001D0583">
          <w:rPr>
            <w:rStyle w:val="Hipervnculo"/>
            <w:lang w:val="en-GB"/>
          </w:rPr>
          <w:t>10.1016/j.jelechem.2024.118709</w:t>
        </w:r>
      </w:hyperlink>
      <w:r w:rsidRPr="001D0583">
        <w:rPr>
          <w:lang w:val="en-GB"/>
        </w:rPr>
        <w:t>.</w:t>
      </w:r>
    </w:p>
    <w:p w14:paraId="3C0A3B12" w14:textId="77777777" w:rsidR="00AD434F" w:rsidRDefault="00000000">
      <w:pPr>
        <w:pStyle w:val="Bibliografa"/>
      </w:pPr>
      <w:bookmarkStart w:id="47" w:name="ref-ref15"/>
      <w:bookmarkEnd w:id="46"/>
      <w:r>
        <w:t xml:space="preserve">[16] </w:t>
      </w:r>
      <w:r>
        <w:tab/>
        <w:t xml:space="preserve">N. Bausá Martínez, «Electrolizadores de alta temperatura basados en cerámicas protónicas.», Tesis doctoral, Universitat Politècnica de València, Valencia (Spain), 2020. doi: </w:t>
      </w:r>
      <w:hyperlink r:id="rId27">
        <w:r>
          <w:rPr>
            <w:rStyle w:val="Hipervnculo"/>
          </w:rPr>
          <w:t>10.4995/Thesis/10251/147114</w:t>
        </w:r>
      </w:hyperlink>
      <w:r>
        <w:t>.</w:t>
      </w:r>
    </w:p>
    <w:p w14:paraId="3C0A3B13" w14:textId="77777777" w:rsidR="00AD434F" w:rsidRDefault="00000000">
      <w:pPr>
        <w:pStyle w:val="Bibliografa"/>
      </w:pPr>
      <w:bookmarkStart w:id="48" w:name="ref-ref5"/>
      <w:bookmarkEnd w:id="47"/>
      <w:r>
        <w:t xml:space="preserve">[17] </w:t>
      </w:r>
      <w:r>
        <w:tab/>
        <w:t>A. M. Vásquez, «EVALUACIÓN DE LA EFICIENCIA DE PRODUCCIÓN DE HIDRÓGENO VERDE MEDIANTE ELECTRÓLISIS DEL AGUA CON ELECTRODOS DE BAJO COSTO», Tesis doctoral, Universitat Santo Tomas, Villavicencio, 2024.</w:t>
      </w:r>
    </w:p>
    <w:p w14:paraId="3C0A3B14" w14:textId="77777777" w:rsidR="00AD434F" w:rsidRPr="001D0583" w:rsidRDefault="00000000">
      <w:pPr>
        <w:pStyle w:val="Bibliografa"/>
        <w:rPr>
          <w:lang w:val="en-GB"/>
        </w:rPr>
      </w:pPr>
      <w:bookmarkStart w:id="49" w:name="ref-ref21"/>
      <w:bookmarkEnd w:id="48"/>
      <w:r w:rsidRPr="001D0583">
        <w:rPr>
          <w:lang w:val="en-GB"/>
        </w:rPr>
        <w:lastRenderedPageBreak/>
        <w:t xml:space="preserve">[18] </w:t>
      </w:r>
      <w:r w:rsidRPr="001D0583">
        <w:rPr>
          <w:lang w:val="en-GB"/>
        </w:rPr>
        <w:tab/>
        <w:t xml:space="preserve">M. T. De Groot, «Alkaline water electrolysis: with or without iron in the electrolyte?», </w:t>
      </w:r>
      <w:r w:rsidRPr="001D0583">
        <w:rPr>
          <w:i/>
          <w:iCs/>
          <w:lang w:val="en-GB"/>
        </w:rPr>
        <w:t>Current Opinion in Chemical Engineering</w:t>
      </w:r>
      <w:r w:rsidRPr="001D0583">
        <w:rPr>
          <w:lang w:val="en-GB"/>
        </w:rPr>
        <w:t xml:space="preserve">, vol. 42, p. 100981, dic. 2023, doi: </w:t>
      </w:r>
      <w:hyperlink r:id="rId28">
        <w:r w:rsidRPr="001D0583">
          <w:rPr>
            <w:rStyle w:val="Hipervnculo"/>
            <w:lang w:val="en-GB"/>
          </w:rPr>
          <w:t>10.1016/j.coche.2023.100981</w:t>
        </w:r>
      </w:hyperlink>
      <w:r w:rsidRPr="001D0583">
        <w:rPr>
          <w:lang w:val="en-GB"/>
        </w:rPr>
        <w:t>.</w:t>
      </w:r>
    </w:p>
    <w:p w14:paraId="3C0A3B15" w14:textId="77777777" w:rsidR="00AD434F" w:rsidRPr="001D0583" w:rsidRDefault="00000000">
      <w:pPr>
        <w:pStyle w:val="Bibliografa"/>
        <w:rPr>
          <w:lang w:val="en-GB"/>
        </w:rPr>
      </w:pPr>
      <w:bookmarkStart w:id="50" w:name="ref-ref25"/>
      <w:bookmarkEnd w:id="49"/>
      <w:r w:rsidRPr="001D0583">
        <w:rPr>
          <w:lang w:val="en-GB"/>
        </w:rPr>
        <w:t xml:space="preserve">[19] </w:t>
      </w:r>
      <w:r w:rsidRPr="001D0583">
        <w:rPr>
          <w:lang w:val="en-GB"/>
        </w:rPr>
        <w:tab/>
        <w:t xml:space="preserve">S. Liu, N. Govindarajan, H. Prats, y K. Chan, «Understanding the reaction mechanism of Kolbe electrolysis on Pt anodes», </w:t>
      </w:r>
      <w:r w:rsidRPr="001D0583">
        <w:rPr>
          <w:i/>
          <w:iCs/>
          <w:lang w:val="en-GB"/>
        </w:rPr>
        <w:t>Chem Catalysis</w:t>
      </w:r>
      <w:r w:rsidRPr="001D0583">
        <w:rPr>
          <w:lang w:val="en-GB"/>
        </w:rPr>
        <w:t xml:space="preserve">, vol. 2, n.º 5, pp. 1100-1113, 2022, doi: </w:t>
      </w:r>
      <w:hyperlink r:id="rId29">
        <w:r w:rsidRPr="001D0583">
          <w:rPr>
            <w:rStyle w:val="Hipervnculo"/>
            <w:lang w:val="en-GB"/>
          </w:rPr>
          <w:t>10.1016/j.checat.2022.02.014</w:t>
        </w:r>
      </w:hyperlink>
      <w:r w:rsidRPr="001D0583">
        <w:rPr>
          <w:lang w:val="en-GB"/>
        </w:rPr>
        <w:t>.</w:t>
      </w:r>
    </w:p>
    <w:p w14:paraId="3C0A3B16" w14:textId="77777777" w:rsidR="00AD434F" w:rsidRPr="001D0583" w:rsidRDefault="00000000">
      <w:pPr>
        <w:pStyle w:val="Bibliografa"/>
        <w:rPr>
          <w:lang w:val="en-GB"/>
        </w:rPr>
      </w:pPr>
      <w:bookmarkStart w:id="51" w:name="ref-ref60"/>
      <w:bookmarkEnd w:id="50"/>
      <w:r w:rsidRPr="001D0583">
        <w:rPr>
          <w:lang w:val="en-GB"/>
        </w:rPr>
        <w:t xml:space="preserve">[20] </w:t>
      </w:r>
      <w:r w:rsidRPr="001D0583">
        <w:rPr>
          <w:lang w:val="en-GB"/>
        </w:rPr>
        <w:tab/>
        <w:t xml:space="preserve">X. Zhang, Y. Lu, J. Shi, Y. Liu, H. Cheng, y Y. Lu, «Dynamic Electrochemical Impedance Spectroscopy: A Forward Application Approach for Lithium‐Ion Battery Status Assessment», </w:t>
      </w:r>
      <w:r w:rsidRPr="001D0583">
        <w:rPr>
          <w:i/>
          <w:iCs/>
          <w:lang w:val="en-GB"/>
        </w:rPr>
        <w:t>EcoMat</w:t>
      </w:r>
      <w:r w:rsidRPr="001D0583">
        <w:rPr>
          <w:lang w:val="en-GB"/>
        </w:rPr>
        <w:t xml:space="preserve">, vol. 7, n.º 7, p. e70018, jul. 2025, doi: </w:t>
      </w:r>
      <w:hyperlink r:id="rId30">
        <w:r w:rsidRPr="001D0583">
          <w:rPr>
            <w:rStyle w:val="Hipervnculo"/>
            <w:lang w:val="en-GB"/>
          </w:rPr>
          <w:t>10.1002/eom2.70018</w:t>
        </w:r>
      </w:hyperlink>
      <w:r w:rsidRPr="001D0583">
        <w:rPr>
          <w:lang w:val="en-GB"/>
        </w:rPr>
        <w:t>.</w:t>
      </w:r>
    </w:p>
    <w:p w14:paraId="3C0A3B17" w14:textId="77777777" w:rsidR="00AD434F" w:rsidRPr="001D0583" w:rsidRDefault="00000000">
      <w:pPr>
        <w:pStyle w:val="Bibliografa"/>
        <w:rPr>
          <w:lang w:val="en-GB"/>
        </w:rPr>
      </w:pPr>
      <w:bookmarkStart w:id="52" w:name="ref-ref59"/>
      <w:bookmarkEnd w:id="51"/>
      <w:r w:rsidRPr="001D0583">
        <w:rPr>
          <w:lang w:val="en-GB"/>
        </w:rPr>
        <w:t xml:space="preserve">[21] </w:t>
      </w:r>
      <w:r w:rsidRPr="001D0583">
        <w:rPr>
          <w:lang w:val="en-GB"/>
        </w:rPr>
        <w:tab/>
        <w:t xml:space="preserve">J. W. Haverkort y H. Rajaei, «Voltage losses in zero-gap alkaline water electrolysis», </w:t>
      </w:r>
      <w:r w:rsidRPr="001D0583">
        <w:rPr>
          <w:i/>
          <w:iCs/>
          <w:lang w:val="en-GB"/>
        </w:rPr>
        <w:t>Journal of Power Sources</w:t>
      </w:r>
      <w:r w:rsidRPr="001D0583">
        <w:rPr>
          <w:lang w:val="en-GB"/>
        </w:rPr>
        <w:t xml:space="preserve">, vol. 497, p. 229864, jun. 2021, doi: </w:t>
      </w:r>
      <w:hyperlink r:id="rId31">
        <w:r w:rsidRPr="001D0583">
          <w:rPr>
            <w:rStyle w:val="Hipervnculo"/>
            <w:lang w:val="en-GB"/>
          </w:rPr>
          <w:t>10.1016/j.jpowsour.2021.229864</w:t>
        </w:r>
      </w:hyperlink>
      <w:r w:rsidRPr="001D0583">
        <w:rPr>
          <w:lang w:val="en-GB"/>
        </w:rPr>
        <w:t>.</w:t>
      </w:r>
    </w:p>
    <w:p w14:paraId="3C0A3B18" w14:textId="77777777" w:rsidR="00AD434F" w:rsidRPr="001D0583" w:rsidRDefault="00000000">
      <w:pPr>
        <w:pStyle w:val="Bibliografa"/>
        <w:rPr>
          <w:lang w:val="en-GB"/>
        </w:rPr>
      </w:pPr>
      <w:bookmarkStart w:id="53" w:name="ref-ref12"/>
      <w:bookmarkEnd w:id="52"/>
      <w:r w:rsidRPr="001D0583">
        <w:rPr>
          <w:lang w:val="en-GB"/>
        </w:rPr>
        <w:t xml:space="preserve">[22] </w:t>
      </w:r>
      <w:r w:rsidRPr="001D0583">
        <w:rPr>
          <w:lang w:val="en-GB"/>
        </w:rPr>
        <w:tab/>
        <w:t xml:space="preserve">E. T. Berg Lundby, A. Rasheed, J. T. Gravdahl, y I. J. Halvorsen, «A novel hybrid analysis and modeling approach applied to aluminum electrolysis process», </w:t>
      </w:r>
      <w:r w:rsidRPr="001D0583">
        <w:rPr>
          <w:i/>
          <w:iCs/>
          <w:lang w:val="en-GB"/>
        </w:rPr>
        <w:t>Journal of Process Control</w:t>
      </w:r>
      <w:r w:rsidRPr="001D0583">
        <w:rPr>
          <w:lang w:val="en-GB"/>
        </w:rPr>
        <w:t xml:space="preserve">, vol. 105, n.º 62–77, jun. 2021, doi: </w:t>
      </w:r>
      <w:hyperlink r:id="rId32">
        <w:r w:rsidRPr="001D0583">
          <w:rPr>
            <w:rStyle w:val="Hipervnculo"/>
            <w:lang w:val="en-GB"/>
          </w:rPr>
          <w:t>10.1016/j.jprocont.2021.06.005</w:t>
        </w:r>
      </w:hyperlink>
      <w:r w:rsidRPr="001D0583">
        <w:rPr>
          <w:lang w:val="en-GB"/>
        </w:rPr>
        <w:t>.</w:t>
      </w:r>
    </w:p>
    <w:p w14:paraId="3C0A3B19" w14:textId="77777777" w:rsidR="00AD434F" w:rsidRPr="001D0583" w:rsidRDefault="00000000">
      <w:pPr>
        <w:pStyle w:val="Bibliografa"/>
        <w:rPr>
          <w:lang w:val="en-GB"/>
        </w:rPr>
      </w:pPr>
      <w:bookmarkStart w:id="54" w:name="ref-ref58"/>
      <w:bookmarkEnd w:id="53"/>
      <w:r w:rsidRPr="001D0583">
        <w:rPr>
          <w:lang w:val="en-GB"/>
        </w:rPr>
        <w:t xml:space="preserve">[23] </w:t>
      </w:r>
      <w:r w:rsidRPr="001D0583">
        <w:rPr>
          <w:lang w:val="en-GB"/>
        </w:rPr>
        <w:tab/>
        <w:t xml:space="preserve">L. Mølmen, L. Fast, A. Lundblad, P. Eriksson, y P. Leisner, «Contact resistance measurement methods for PEM fuel cell bipolar plates and power terminals», </w:t>
      </w:r>
      <w:r w:rsidRPr="001D0583">
        <w:rPr>
          <w:i/>
          <w:iCs/>
          <w:lang w:val="en-GB"/>
        </w:rPr>
        <w:t>Journal of Power Sources</w:t>
      </w:r>
      <w:r w:rsidRPr="001D0583">
        <w:rPr>
          <w:lang w:val="en-GB"/>
        </w:rPr>
        <w:t xml:space="preserve">, vol. 555, p. 232341, ene. 2023, doi: </w:t>
      </w:r>
      <w:hyperlink r:id="rId33">
        <w:r w:rsidRPr="001D0583">
          <w:rPr>
            <w:rStyle w:val="Hipervnculo"/>
            <w:lang w:val="en-GB"/>
          </w:rPr>
          <w:t>10.1016/j.jpowsour.2022.232341</w:t>
        </w:r>
      </w:hyperlink>
      <w:r w:rsidRPr="001D0583">
        <w:rPr>
          <w:lang w:val="en-GB"/>
        </w:rPr>
        <w:t>.</w:t>
      </w:r>
    </w:p>
    <w:p w14:paraId="3C0A3B1A" w14:textId="77777777" w:rsidR="00AD434F" w:rsidRPr="001D0583" w:rsidRDefault="00000000">
      <w:pPr>
        <w:pStyle w:val="Bibliografa"/>
        <w:rPr>
          <w:lang w:val="en-GB"/>
        </w:rPr>
      </w:pPr>
      <w:bookmarkStart w:id="55" w:name="ref-ref57"/>
      <w:bookmarkEnd w:id="54"/>
      <w:r w:rsidRPr="001D0583">
        <w:rPr>
          <w:lang w:val="en-GB"/>
        </w:rPr>
        <w:t xml:space="preserve">[24] </w:t>
      </w:r>
      <w:r w:rsidRPr="001D0583">
        <w:rPr>
          <w:lang w:val="en-GB"/>
        </w:rPr>
        <w:tab/>
        <w:t xml:space="preserve">M. T. De Groot y A. W. Vreman, «Ohmic resistance in zero gap alkaline electrolysis with a Zirfon diaphragm», </w:t>
      </w:r>
      <w:r w:rsidRPr="001D0583">
        <w:rPr>
          <w:i/>
          <w:iCs/>
          <w:lang w:val="en-GB"/>
        </w:rPr>
        <w:t>Electrochimica Acta</w:t>
      </w:r>
      <w:r w:rsidRPr="001D0583">
        <w:rPr>
          <w:lang w:val="en-GB"/>
        </w:rPr>
        <w:t xml:space="preserve">, vol. 369, p. 137684, feb. 2021, doi: </w:t>
      </w:r>
      <w:hyperlink r:id="rId34">
        <w:r w:rsidRPr="001D0583">
          <w:rPr>
            <w:rStyle w:val="Hipervnculo"/>
            <w:lang w:val="en-GB"/>
          </w:rPr>
          <w:t>10.1016/j.electacta.2020.137684</w:t>
        </w:r>
      </w:hyperlink>
      <w:r w:rsidRPr="001D0583">
        <w:rPr>
          <w:lang w:val="en-GB"/>
        </w:rPr>
        <w:t>.</w:t>
      </w:r>
    </w:p>
    <w:p w14:paraId="3C0A3B1B" w14:textId="77777777" w:rsidR="00AD434F" w:rsidRPr="001D0583" w:rsidRDefault="00000000">
      <w:pPr>
        <w:pStyle w:val="Bibliografa"/>
        <w:rPr>
          <w:lang w:val="en-GB"/>
        </w:rPr>
      </w:pPr>
      <w:bookmarkStart w:id="56" w:name="ref-ref31"/>
      <w:bookmarkEnd w:id="55"/>
      <w:r w:rsidRPr="001D0583">
        <w:rPr>
          <w:lang w:val="en-GB"/>
        </w:rPr>
        <w:t xml:space="preserve">[25] </w:t>
      </w:r>
      <w:r w:rsidRPr="001D0583">
        <w:rPr>
          <w:lang w:val="en-GB"/>
        </w:rPr>
        <w:tab/>
        <w:t xml:space="preserve">K. Mazloomi, N. B. Sulaiman, y H. Moayedi, «An Investigation into the Electrical Impedance of Water Electrolysis Cells - With a View to Saving Energy», </w:t>
      </w:r>
      <w:r w:rsidRPr="001D0583">
        <w:rPr>
          <w:i/>
          <w:iCs/>
          <w:lang w:val="en-GB"/>
        </w:rPr>
        <w:t>International Journal of Electrochemical Science</w:t>
      </w:r>
      <w:r w:rsidRPr="001D0583">
        <w:rPr>
          <w:lang w:val="en-GB"/>
        </w:rPr>
        <w:t xml:space="preserve">, vol. 7, n.º 4, pp. 3466-3481, abr. 2012, doi: </w:t>
      </w:r>
      <w:hyperlink r:id="rId35">
        <w:r w:rsidRPr="001D0583">
          <w:rPr>
            <w:rStyle w:val="Hipervnculo"/>
            <w:lang w:val="en-GB"/>
          </w:rPr>
          <w:t>10.1016/S1452-3981(23)13969-1</w:t>
        </w:r>
      </w:hyperlink>
      <w:r w:rsidRPr="001D0583">
        <w:rPr>
          <w:lang w:val="en-GB"/>
        </w:rPr>
        <w:t>.</w:t>
      </w:r>
    </w:p>
    <w:p w14:paraId="3C0A3B1C" w14:textId="77777777" w:rsidR="00AD434F" w:rsidRPr="001D0583" w:rsidRDefault="00000000">
      <w:pPr>
        <w:pStyle w:val="Bibliografa"/>
        <w:rPr>
          <w:lang w:val="en-GB"/>
        </w:rPr>
      </w:pPr>
      <w:bookmarkStart w:id="57" w:name="ref-ref33"/>
      <w:bookmarkEnd w:id="56"/>
      <w:r w:rsidRPr="001D0583">
        <w:rPr>
          <w:lang w:val="en-GB"/>
        </w:rPr>
        <w:t xml:space="preserve">[26] </w:t>
      </w:r>
      <w:r w:rsidRPr="001D0583">
        <w:rPr>
          <w:lang w:val="en-GB"/>
        </w:rPr>
        <w:tab/>
        <w:t xml:space="preserve">C. Pedersen, T. Aslyamov, y M. Janssen, «Equivalent Circuit and Continuum Modeling of the Impedance of Electrolyte-Filled Pores», </w:t>
      </w:r>
      <w:r w:rsidRPr="001D0583">
        <w:rPr>
          <w:i/>
          <w:iCs/>
          <w:lang w:val="en-GB"/>
        </w:rPr>
        <w:t>PRX Energy</w:t>
      </w:r>
      <w:r w:rsidRPr="001D0583">
        <w:rPr>
          <w:lang w:val="en-GB"/>
        </w:rPr>
        <w:t xml:space="preserve">, vol. 2, n.º 4, p. 043006, oct. 2023, doi: </w:t>
      </w:r>
      <w:hyperlink r:id="rId36">
        <w:r w:rsidRPr="001D0583">
          <w:rPr>
            <w:rStyle w:val="Hipervnculo"/>
            <w:lang w:val="en-GB"/>
          </w:rPr>
          <w:t>10.1103/PRXEnergy.2.043006</w:t>
        </w:r>
      </w:hyperlink>
      <w:r w:rsidRPr="001D0583">
        <w:rPr>
          <w:lang w:val="en-GB"/>
        </w:rPr>
        <w:t>.</w:t>
      </w:r>
    </w:p>
    <w:p w14:paraId="3C0A3B1D" w14:textId="77777777" w:rsidR="00AD434F" w:rsidRPr="001D0583" w:rsidRDefault="00000000">
      <w:pPr>
        <w:pStyle w:val="Bibliografa"/>
        <w:rPr>
          <w:lang w:val="en-GB"/>
        </w:rPr>
      </w:pPr>
      <w:bookmarkStart w:id="58" w:name="ref-ref32"/>
      <w:bookmarkEnd w:id="57"/>
      <w:r w:rsidRPr="001D0583">
        <w:rPr>
          <w:lang w:val="en-GB"/>
        </w:rPr>
        <w:t xml:space="preserve">[27] </w:t>
      </w:r>
      <w:r w:rsidRPr="001D0583">
        <w:rPr>
          <w:lang w:val="en-GB"/>
        </w:rPr>
        <w:tab/>
        <w:t xml:space="preserve">Y. Sugahara y S. Uno, «An analytic equation for single cell electrochemical impedance spectroscopy with a dependence on cell position», </w:t>
      </w:r>
      <w:r w:rsidRPr="001D0583">
        <w:rPr>
          <w:i/>
          <w:iCs/>
          <w:lang w:val="en-GB"/>
        </w:rPr>
        <w:t>AIP Advances</w:t>
      </w:r>
      <w:r w:rsidRPr="001D0583">
        <w:rPr>
          <w:lang w:val="en-GB"/>
        </w:rPr>
        <w:t xml:space="preserve">, vol. 13, n.º 9, p. 095315, sep. 2023, doi: </w:t>
      </w:r>
      <w:hyperlink r:id="rId37">
        <w:r w:rsidRPr="001D0583">
          <w:rPr>
            <w:rStyle w:val="Hipervnculo"/>
            <w:lang w:val="en-GB"/>
          </w:rPr>
          <w:t>10.1063/5.0166409</w:t>
        </w:r>
      </w:hyperlink>
      <w:r w:rsidRPr="001D0583">
        <w:rPr>
          <w:lang w:val="en-GB"/>
        </w:rPr>
        <w:t>.</w:t>
      </w:r>
    </w:p>
    <w:p w14:paraId="3C0A3B1E" w14:textId="77777777" w:rsidR="00AD434F" w:rsidRPr="001D0583" w:rsidRDefault="00000000">
      <w:pPr>
        <w:pStyle w:val="Bibliografa"/>
        <w:rPr>
          <w:lang w:val="en-GB"/>
        </w:rPr>
      </w:pPr>
      <w:bookmarkStart w:id="59" w:name="ref-ref34"/>
      <w:bookmarkEnd w:id="58"/>
      <w:r w:rsidRPr="001D0583">
        <w:rPr>
          <w:lang w:val="en-GB"/>
        </w:rPr>
        <w:t xml:space="preserve">[28] </w:t>
      </w:r>
      <w:r w:rsidRPr="001D0583">
        <w:rPr>
          <w:lang w:val="en-GB"/>
        </w:rPr>
        <w:tab/>
        <w:t xml:space="preserve">M. Shiozawa y S. Uno, «An analytical formula for determining the electrical impedance between a single adherent cell and sensor substrate», </w:t>
      </w:r>
      <w:r w:rsidRPr="001D0583">
        <w:rPr>
          <w:i/>
          <w:iCs/>
          <w:lang w:val="en-GB"/>
        </w:rPr>
        <w:t>Japanese Journal of Applied Physics</w:t>
      </w:r>
      <w:r w:rsidRPr="001D0583">
        <w:rPr>
          <w:lang w:val="en-GB"/>
        </w:rPr>
        <w:t xml:space="preserve">, vol. 61, n.º 11, p. 117001, nov. 2022, doi: </w:t>
      </w:r>
      <w:hyperlink r:id="rId38">
        <w:r w:rsidRPr="001D0583">
          <w:rPr>
            <w:rStyle w:val="Hipervnculo"/>
            <w:lang w:val="en-GB"/>
          </w:rPr>
          <w:t>10.35848/1347-4065/ac9877</w:t>
        </w:r>
      </w:hyperlink>
      <w:r w:rsidRPr="001D0583">
        <w:rPr>
          <w:lang w:val="en-GB"/>
        </w:rPr>
        <w:t>.</w:t>
      </w:r>
    </w:p>
    <w:p w14:paraId="3C0A3B1F" w14:textId="77777777" w:rsidR="00AD434F" w:rsidRDefault="00000000">
      <w:pPr>
        <w:pStyle w:val="Bibliografa"/>
      </w:pPr>
      <w:bookmarkStart w:id="60" w:name="ref-ref43"/>
      <w:bookmarkEnd w:id="59"/>
      <w:r>
        <w:t xml:space="preserve">[29] </w:t>
      </w:r>
      <w:r>
        <w:tab/>
        <w:t xml:space="preserve">D. C. F. Guerra, M. del C. Clemente, y Funez Guerra, Carlos, «El Hidrógeno como almcacen energético. Aplicación de la pila de combustible reversible polimérica.», </w:t>
      </w:r>
      <w:r>
        <w:rPr>
          <w:i/>
          <w:iCs/>
        </w:rPr>
        <w:t>Anales de la Real Academia de Doctores de España</w:t>
      </w:r>
      <w:r>
        <w:t>, vol. 14, pp. 71-91, 2010.</w:t>
      </w:r>
    </w:p>
    <w:p w14:paraId="3C0A3B20" w14:textId="77777777" w:rsidR="00AD434F" w:rsidRPr="001D0583" w:rsidRDefault="00000000">
      <w:pPr>
        <w:pStyle w:val="Bibliografa"/>
        <w:rPr>
          <w:lang w:val="en-GB"/>
        </w:rPr>
      </w:pPr>
      <w:bookmarkStart w:id="61" w:name="ref-ref37"/>
      <w:bookmarkEnd w:id="60"/>
      <w:r w:rsidRPr="001D0583">
        <w:rPr>
          <w:lang w:val="en-GB"/>
        </w:rPr>
        <w:t xml:space="preserve">[30] </w:t>
      </w:r>
      <w:r w:rsidRPr="001D0583">
        <w:rPr>
          <w:lang w:val="en-GB"/>
        </w:rPr>
        <w:tab/>
        <w:t xml:space="preserve">P. Atkins y J. De Paula, </w:t>
      </w:r>
      <w:r w:rsidRPr="001D0583">
        <w:rPr>
          <w:i/>
          <w:iCs/>
          <w:lang w:val="en-GB"/>
        </w:rPr>
        <w:t>Physical Chemistry</w:t>
      </w:r>
      <w:r w:rsidRPr="001D0583">
        <w:rPr>
          <w:lang w:val="en-GB"/>
        </w:rPr>
        <w:t>, 8.ª ed. New York: W.H. Freeman.</w:t>
      </w:r>
    </w:p>
    <w:p w14:paraId="3C0A3B21" w14:textId="77777777" w:rsidR="00AD434F" w:rsidRDefault="00000000">
      <w:pPr>
        <w:pStyle w:val="Bibliografa"/>
      </w:pPr>
      <w:bookmarkStart w:id="62" w:name="ref-ref42"/>
      <w:bookmarkEnd w:id="61"/>
      <w:r>
        <w:t xml:space="preserve">[31] </w:t>
      </w:r>
      <w:r>
        <w:tab/>
        <w:t>J. R. López Ramírez, «Modelo dinámico de un electrolizador alcalino», Tesis doctoral, Universidad de Sevilla, Sevilla, 2011.</w:t>
      </w:r>
    </w:p>
    <w:p w14:paraId="3C0A3B22" w14:textId="77777777" w:rsidR="00AD434F" w:rsidRPr="001D0583" w:rsidRDefault="00000000">
      <w:pPr>
        <w:pStyle w:val="Bibliografa"/>
        <w:rPr>
          <w:lang w:val="en-GB"/>
        </w:rPr>
      </w:pPr>
      <w:bookmarkStart w:id="63" w:name="ref-ref52"/>
      <w:bookmarkEnd w:id="62"/>
      <w:r w:rsidRPr="001D0583">
        <w:rPr>
          <w:lang w:val="en-GB"/>
        </w:rPr>
        <w:t xml:space="preserve">[32] </w:t>
      </w:r>
      <w:r w:rsidRPr="001D0583">
        <w:rPr>
          <w:lang w:val="en-GB"/>
        </w:rPr>
        <w:tab/>
        <w:t xml:space="preserve">W. Zhang </w:t>
      </w:r>
      <w:r w:rsidRPr="001D0583">
        <w:rPr>
          <w:i/>
          <w:iCs/>
          <w:lang w:val="en-GB"/>
        </w:rPr>
        <w:t>et al.</w:t>
      </w:r>
      <w:r w:rsidRPr="001D0583">
        <w:rPr>
          <w:lang w:val="en-GB"/>
        </w:rPr>
        <w:t xml:space="preserve">, «Flexible endothermic or exothermic operation for temperature-oriented alkaline water electrolysis», </w:t>
      </w:r>
      <w:r w:rsidRPr="001D0583">
        <w:rPr>
          <w:i/>
          <w:iCs/>
          <w:lang w:val="en-GB"/>
        </w:rPr>
        <w:t>Cell Reports Physical Science</w:t>
      </w:r>
      <w:r w:rsidRPr="001D0583">
        <w:rPr>
          <w:lang w:val="en-GB"/>
        </w:rPr>
        <w:t xml:space="preserve">, vol. 5, n.º 4, p. 101900, abr. 2024, doi: </w:t>
      </w:r>
      <w:hyperlink r:id="rId39">
        <w:r w:rsidRPr="001D0583">
          <w:rPr>
            <w:rStyle w:val="Hipervnculo"/>
            <w:lang w:val="en-GB"/>
          </w:rPr>
          <w:t>10.1016/j.xcrp.2024.101900</w:t>
        </w:r>
      </w:hyperlink>
      <w:r w:rsidRPr="001D0583">
        <w:rPr>
          <w:lang w:val="en-GB"/>
        </w:rPr>
        <w:t>.</w:t>
      </w:r>
      <w:bookmarkEnd w:id="30"/>
      <w:bookmarkEnd w:id="32"/>
      <w:bookmarkEnd w:id="63"/>
    </w:p>
    <w:sectPr w:rsidR="00AD434F" w:rsidRPr="001D0583">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BCB64B52"/>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FC34FAE4"/>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15:restartNumberingAfterBreak="0">
    <w:nsid w:val="00A99411"/>
    <w:multiLevelType w:val="multilevel"/>
    <w:tmpl w:val="D45C70A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1367022973">
    <w:abstractNumId w:val="0"/>
  </w:num>
  <w:num w:numId="2" w16cid:durableId="1354385114">
    <w:abstractNumId w:val="0"/>
  </w:num>
  <w:num w:numId="3" w16cid:durableId="157019247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129396751">
    <w:abstractNumId w:val="1"/>
  </w:num>
  <w:num w:numId="5" w16cid:durableId="841973153">
    <w:abstractNumId w:val="1"/>
  </w:num>
  <w:num w:numId="6" w16cid:durableId="860212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608466560">
    <w:abstractNumId w:val="0"/>
  </w:num>
  <w:num w:numId="8" w16cid:durableId="201134987">
    <w:abstractNumId w:val="1"/>
  </w:num>
  <w:num w:numId="9" w16cid:durableId="70005580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6500116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NotTrackMoves/>
  <w:defaultTabStop w:val="720"/>
  <w:hyphenationZone w:val="425"/>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5DB2"/>
    <w:rsid w:val="00015146"/>
    <w:rsid w:val="00040B2C"/>
    <w:rsid w:val="00055DFE"/>
    <w:rsid w:val="00071730"/>
    <w:rsid w:val="00133794"/>
    <w:rsid w:val="00140920"/>
    <w:rsid w:val="001D0583"/>
    <w:rsid w:val="00270989"/>
    <w:rsid w:val="00300B20"/>
    <w:rsid w:val="0034305E"/>
    <w:rsid w:val="0039502A"/>
    <w:rsid w:val="003F4A57"/>
    <w:rsid w:val="00456E81"/>
    <w:rsid w:val="00461EF2"/>
    <w:rsid w:val="005F1D2F"/>
    <w:rsid w:val="005F6DDD"/>
    <w:rsid w:val="007265A5"/>
    <w:rsid w:val="007D743D"/>
    <w:rsid w:val="00852165"/>
    <w:rsid w:val="0085266B"/>
    <w:rsid w:val="00892DAF"/>
    <w:rsid w:val="008D7AE6"/>
    <w:rsid w:val="008F4962"/>
    <w:rsid w:val="0093360E"/>
    <w:rsid w:val="00992888"/>
    <w:rsid w:val="00A07F07"/>
    <w:rsid w:val="00A13497"/>
    <w:rsid w:val="00A96177"/>
    <w:rsid w:val="00AA7C93"/>
    <w:rsid w:val="00AC5735"/>
    <w:rsid w:val="00AD434F"/>
    <w:rsid w:val="00B0596D"/>
    <w:rsid w:val="00B125A7"/>
    <w:rsid w:val="00B373DF"/>
    <w:rsid w:val="00BD0BAE"/>
    <w:rsid w:val="00C50BCD"/>
    <w:rsid w:val="00CB23C1"/>
    <w:rsid w:val="00D47FA5"/>
    <w:rsid w:val="00D57E78"/>
    <w:rsid w:val="00D84740"/>
    <w:rsid w:val="00DA5F5E"/>
    <w:rsid w:val="00DE15A2"/>
    <w:rsid w:val="00E43E82"/>
    <w:rsid w:val="00EF3DE6"/>
    <w:rsid w:val="00F13FDD"/>
    <w:rsid w:val="00F15418"/>
    <w:rsid w:val="00F2434B"/>
    <w:rsid w:val="00F8596E"/>
    <w:rsid w:val="00FA5D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0A3A35"/>
  <w15:docId w15:val="{C286498C-0FEC-4012-B98B-20A2B17B3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Ttulo1">
    <w:name w:val="heading 1"/>
    <w:basedOn w:val="Normal"/>
    <w:next w:val="Textoindependiente"/>
    <w:link w:val="Ttulo1Car"/>
    <w:uiPriority w:val="9"/>
    <w:qFormat/>
    <w:rsid w:val="003F4A57"/>
    <w:pPr>
      <w:keepNext/>
      <w:keepLines/>
      <w:spacing w:before="360" w:after="80"/>
      <w:jc w:val="center"/>
      <w:outlineLvl w:val="0"/>
    </w:pPr>
    <w:rPr>
      <w:rFonts w:ascii="Times New Roman" w:eastAsiaTheme="majorEastAsia" w:hAnsi="Times New Roman" w:cs="Times New Roman"/>
      <w:b/>
      <w:bCs/>
      <w:color w:val="000000" w:themeColor="text1"/>
      <w:sz w:val="20"/>
      <w:szCs w:val="20"/>
    </w:rPr>
  </w:style>
  <w:style w:type="paragraph" w:styleId="Ttulo2">
    <w:name w:val="heading 2"/>
    <w:basedOn w:val="Normal"/>
    <w:next w:val="Textoindependiente"/>
    <w:link w:val="Ttulo2Car"/>
    <w:uiPriority w:val="9"/>
    <w:unhideWhenUsed/>
    <w:qFormat/>
    <w:rsid w:val="00B0596D"/>
    <w:pPr>
      <w:keepNext/>
      <w:keepLines/>
      <w:spacing w:before="160" w:after="80"/>
      <w:outlineLvl w:val="1"/>
    </w:pPr>
    <w:rPr>
      <w:rFonts w:ascii="Times New Roman" w:eastAsiaTheme="majorEastAsia" w:hAnsi="Times New Roman" w:cs="Times New Roman"/>
      <w:i/>
      <w:iCs/>
      <w:color w:val="000000" w:themeColor="text1"/>
      <w:sz w:val="20"/>
      <w:szCs w:val="20"/>
    </w:rPr>
  </w:style>
  <w:style w:type="paragraph" w:styleId="Ttulo3">
    <w:name w:val="heading 3"/>
    <w:basedOn w:val="Normal"/>
    <w:next w:val="Textoindependiente"/>
    <w:link w:val="Ttulo3Car"/>
    <w:uiPriority w:val="9"/>
    <w:semiHidden/>
    <w:unhideWhenUsed/>
    <w:qFormat/>
    <w:rsid w:val="00461EF2"/>
    <w:pPr>
      <w:keepNext/>
      <w:keepLines/>
      <w:spacing w:before="160" w:after="80"/>
      <w:outlineLvl w:val="2"/>
    </w:pPr>
    <w:rPr>
      <w:rFonts w:ascii="Times New Roman" w:eastAsiaTheme="majorEastAsia" w:hAnsi="Times New Roman" w:cstheme="majorBidi"/>
      <w:i/>
      <w:sz w:val="20"/>
      <w:szCs w:val="28"/>
    </w:rPr>
  </w:style>
  <w:style w:type="paragraph" w:styleId="Ttulo4">
    <w:name w:val="heading 4"/>
    <w:basedOn w:val="Normal"/>
    <w:next w:val="Textoindependiente"/>
    <w:link w:val="Ttulo4C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Textoindependiente"/>
    <w:link w:val="Ttulo5C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Textoindependiente"/>
    <w:link w:val="Ttulo6C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Textoindependiente"/>
    <w:link w:val="Ttulo7C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Textoindependiente"/>
    <w:link w:val="Ttulo8C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Textoindependiente"/>
    <w:link w:val="Ttulo9C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qFormat/>
    <w:rsid w:val="008D7AE6"/>
    <w:pPr>
      <w:spacing w:after="0"/>
      <w:jc w:val="both"/>
    </w:pPr>
    <w:rPr>
      <w:rFonts w:ascii="Times New Roman" w:hAnsi="Times New Roman" w:cs="Times New Roman"/>
      <w:sz w:val="20"/>
      <w:szCs w:val="21"/>
    </w:rPr>
  </w:style>
  <w:style w:type="paragraph" w:customStyle="1" w:styleId="FirstParagraph">
    <w:name w:val="First Paragraph"/>
    <w:basedOn w:val="Textoindependiente"/>
    <w:next w:val="Textoindependiente"/>
    <w:qFormat/>
    <w:rsid w:val="008D7AE6"/>
    <w:pPr>
      <w:ind w:firstLine="720"/>
    </w:pPr>
    <w:rPr>
      <w:szCs w:val="20"/>
    </w:rPr>
  </w:style>
  <w:style w:type="paragraph" w:customStyle="1" w:styleId="Compact">
    <w:name w:val="Compact"/>
    <w:basedOn w:val="Textoindependiente"/>
    <w:qFormat/>
    <w:pPr>
      <w:spacing w:before="36" w:after="36"/>
    </w:pPr>
  </w:style>
  <w:style w:type="paragraph" w:styleId="Ttulo">
    <w:name w:val="Title"/>
    <w:basedOn w:val="Normal"/>
    <w:next w:val="Textoindependiente"/>
    <w:link w:val="TtuloCar"/>
    <w:uiPriority w:val="10"/>
    <w:qFormat/>
    <w:rsid w:val="003F4A57"/>
    <w:pPr>
      <w:spacing w:after="80"/>
      <w:contextualSpacing/>
      <w:jc w:val="center"/>
    </w:pPr>
    <w:rPr>
      <w:rFonts w:ascii="Calibri" w:eastAsiaTheme="majorEastAsia" w:hAnsi="Calibri" w:cs="Calibri"/>
      <w:b/>
      <w:bCs/>
      <w:sz w:val="32"/>
      <w:szCs w:val="32"/>
    </w:rPr>
  </w:style>
  <w:style w:type="character" w:customStyle="1" w:styleId="TtuloCar">
    <w:name w:val="Título Car"/>
    <w:basedOn w:val="Fuentedeprrafopredeter"/>
    <w:link w:val="Ttulo"/>
    <w:uiPriority w:val="10"/>
    <w:rsid w:val="003F4A57"/>
    <w:rPr>
      <w:rFonts w:ascii="Calibri" w:eastAsiaTheme="majorEastAsia" w:hAnsi="Calibri" w:cs="Calibri"/>
      <w:b/>
      <w:bCs/>
      <w:sz w:val="32"/>
      <w:szCs w:val="32"/>
      <w:lang w:val="es"/>
    </w:rPr>
  </w:style>
  <w:style w:type="paragraph" w:styleId="Subttulo">
    <w:name w:val="Subtitle"/>
    <w:basedOn w:val="Ttulo"/>
    <w:next w:val="Textoindependiente"/>
    <w:link w:val="SubttuloCar"/>
    <w:uiPriority w:val="11"/>
    <w:qFormat/>
    <w:rsid w:val="00A10FD9"/>
    <w:pPr>
      <w:numPr>
        <w:ilvl w:val="1"/>
      </w:numPr>
    </w:pPr>
    <w:rPr>
      <w:rFonts w:cstheme="majorBidi"/>
      <w:spacing w:val="15"/>
      <w:sz w:val="28"/>
      <w:szCs w:val="28"/>
    </w:rPr>
  </w:style>
  <w:style w:type="character" w:customStyle="1" w:styleId="SubttuloCar">
    <w:name w:val="Subtítulo Car"/>
    <w:basedOn w:val="Fuentedeprrafopredeter"/>
    <w:link w:val="Subttulo"/>
    <w:uiPriority w:val="11"/>
    <w:rsid w:val="00A10FD9"/>
    <w:rPr>
      <w:rFonts w:eastAsiaTheme="majorEastAsia" w:cstheme="majorBidi"/>
      <w:color w:val="595959" w:themeColor="text1" w:themeTint="A6"/>
      <w:spacing w:val="15"/>
      <w:sz w:val="28"/>
      <w:szCs w:val="28"/>
    </w:rPr>
  </w:style>
  <w:style w:type="paragraph" w:customStyle="1" w:styleId="Author">
    <w:name w:val="Author"/>
    <w:basedOn w:val="Ttulo"/>
    <w:next w:val="Textoindependiente"/>
    <w:qFormat/>
    <w:rsid w:val="00300B20"/>
    <w:pPr>
      <w:keepNext/>
      <w:keepLines/>
    </w:pPr>
    <w:rPr>
      <w:rFonts w:ascii="Times New Roman" w:hAnsi="Times New Roman" w:cs="Times New Roman"/>
      <w:b w:val="0"/>
      <w:bCs w:val="0"/>
      <w:sz w:val="20"/>
      <w:szCs w:val="20"/>
    </w:rPr>
  </w:style>
  <w:style w:type="paragraph" w:styleId="Fecha">
    <w:name w:val="Date"/>
    <w:basedOn w:val="Ttulo"/>
    <w:next w:val="Textoindependiente"/>
    <w:qFormat/>
    <w:pPr>
      <w:keepNext/>
      <w:keepLines/>
    </w:pPr>
    <w:rPr>
      <w:sz w:val="24"/>
      <w:szCs w:val="24"/>
    </w:r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Textoindependiente"/>
    <w:qFormat/>
    <w:pPr>
      <w:keepNext/>
      <w:keepLines/>
      <w:spacing w:before="100" w:after="300"/>
    </w:pPr>
    <w:rPr>
      <w:sz w:val="20"/>
      <w:szCs w:val="20"/>
    </w:rPr>
  </w:style>
  <w:style w:type="paragraph" w:styleId="Bibliografa">
    <w:name w:val="Bibliography"/>
    <w:basedOn w:val="Normal"/>
    <w:qFormat/>
    <w:rsid w:val="00C50BCD"/>
    <w:pPr>
      <w:jc w:val="both"/>
    </w:pPr>
    <w:rPr>
      <w:rFonts w:ascii="Times New Roman" w:hAnsi="Times New Roman" w:cs="Times New Roman"/>
      <w:sz w:val="16"/>
      <w:szCs w:val="16"/>
    </w:rPr>
  </w:style>
  <w:style w:type="character" w:customStyle="1" w:styleId="Ttulo1Car">
    <w:name w:val="Título 1 Car"/>
    <w:basedOn w:val="Fuentedeprrafopredeter"/>
    <w:link w:val="Ttulo1"/>
    <w:uiPriority w:val="9"/>
    <w:rsid w:val="003F4A57"/>
    <w:rPr>
      <w:rFonts w:ascii="Times New Roman" w:eastAsiaTheme="majorEastAsia" w:hAnsi="Times New Roman" w:cs="Times New Roman"/>
      <w:b/>
      <w:bCs/>
      <w:color w:val="000000" w:themeColor="text1"/>
      <w:sz w:val="20"/>
      <w:szCs w:val="20"/>
      <w:lang w:val="es"/>
    </w:rPr>
  </w:style>
  <w:style w:type="character" w:customStyle="1" w:styleId="Ttulo2Car">
    <w:name w:val="Título 2 Car"/>
    <w:basedOn w:val="Fuentedeprrafopredeter"/>
    <w:link w:val="Ttulo2"/>
    <w:uiPriority w:val="9"/>
    <w:rsid w:val="00B0596D"/>
    <w:rPr>
      <w:rFonts w:ascii="Times New Roman" w:eastAsiaTheme="majorEastAsia" w:hAnsi="Times New Roman" w:cs="Times New Roman"/>
      <w:i/>
      <w:iCs/>
      <w:color w:val="000000" w:themeColor="text1"/>
      <w:sz w:val="20"/>
      <w:szCs w:val="20"/>
      <w:lang w:val="es"/>
    </w:rPr>
  </w:style>
  <w:style w:type="character" w:customStyle="1" w:styleId="Ttulo3Car">
    <w:name w:val="Título 3 Car"/>
    <w:basedOn w:val="Fuentedeprrafopredeter"/>
    <w:link w:val="Ttulo3"/>
    <w:uiPriority w:val="9"/>
    <w:semiHidden/>
    <w:rsid w:val="00461EF2"/>
    <w:rPr>
      <w:rFonts w:ascii="Times New Roman" w:eastAsiaTheme="majorEastAsia" w:hAnsi="Times New Roman" w:cstheme="majorBidi"/>
      <w:i/>
      <w:sz w:val="20"/>
      <w:szCs w:val="28"/>
    </w:rPr>
  </w:style>
  <w:style w:type="character" w:customStyle="1" w:styleId="Ttulo4Car">
    <w:name w:val="Título 4 Car"/>
    <w:basedOn w:val="Fuentedeprrafopredeter"/>
    <w:link w:val="Ttulo4"/>
    <w:uiPriority w:val="9"/>
    <w:semiHidden/>
    <w:rsid w:val="00A10FD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10FD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10FD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10FD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10FD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10FD9"/>
    <w:rPr>
      <w:rFonts w:eastAsiaTheme="majorEastAsia" w:cstheme="majorBidi"/>
      <w:color w:val="272727" w:themeColor="text1" w:themeTint="D8"/>
    </w:rPr>
  </w:style>
  <w:style w:type="paragraph" w:styleId="Textodebloque">
    <w:name w:val="Block Text"/>
    <w:basedOn w:val="Textoindependiente"/>
    <w:next w:val="Textoindependiente"/>
    <w:uiPriority w:val="9"/>
    <w:unhideWhenUsed/>
    <w:qFormat/>
    <w:pPr>
      <w:spacing w:before="100" w:after="100"/>
      <w:ind w:left="480" w:right="480"/>
    </w:pPr>
  </w:style>
  <w:style w:type="paragraph" w:styleId="Textonotapie">
    <w:name w:val="footnote text"/>
    <w:basedOn w:val="Normal"/>
    <w:uiPriority w:val="9"/>
    <w:unhideWhenUsed/>
    <w:qFormat/>
    <w:rsid w:val="00A07F07"/>
    <w:pPr>
      <w:spacing w:after="0"/>
    </w:pPr>
    <w:rPr>
      <w:rFonts w:ascii="Times New Roman" w:hAnsi="Times New Roman" w:cs="Times New Roman"/>
      <w:sz w:val="16"/>
      <w:szCs w:val="16"/>
    </w:rPr>
  </w:style>
  <w:style w:type="paragraph" w:customStyle="1" w:styleId="FootnoteBlockText">
    <w:name w:val="Footnote Block Text"/>
    <w:basedOn w:val="Textonotapie"/>
    <w:next w:val="Textonotapie"/>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Descripcin">
    <w:name w:val="caption"/>
    <w:basedOn w:val="Normal"/>
    <w:link w:val="DescripcinCar"/>
    <w:pPr>
      <w:spacing w:after="120"/>
    </w:pPr>
    <w:rPr>
      <w:i/>
    </w:rPr>
  </w:style>
  <w:style w:type="paragraph" w:customStyle="1" w:styleId="TableCaption">
    <w:name w:val="Table Caption"/>
    <w:basedOn w:val="Descripcin"/>
    <w:pPr>
      <w:keepNext/>
    </w:pPr>
  </w:style>
  <w:style w:type="paragraph" w:customStyle="1" w:styleId="ImageCaption">
    <w:name w:val="Image Caption"/>
    <w:basedOn w:val="Descripcin"/>
    <w:rsid w:val="0093360E"/>
    <w:pPr>
      <w:jc w:val="center"/>
    </w:pPr>
    <w:rPr>
      <w:rFonts w:ascii="Times New Roman" w:hAnsi="Times New Roman" w:cs="Times New Roman"/>
      <w:i w:val="0"/>
      <w:sz w:val="20"/>
      <w:szCs w:val="20"/>
    </w:rPr>
  </w:style>
  <w:style w:type="paragraph" w:customStyle="1" w:styleId="Figure">
    <w:name w:val="Figure"/>
    <w:basedOn w:val="Normal"/>
  </w:style>
  <w:style w:type="paragraph" w:customStyle="1" w:styleId="CaptionedFigure">
    <w:name w:val="Captioned Figure"/>
    <w:basedOn w:val="Figure"/>
    <w:rsid w:val="00B0596D"/>
    <w:pPr>
      <w:keepNext/>
      <w:jc w:val="center"/>
    </w:pPr>
    <w:rPr>
      <w:noProof/>
    </w:rPr>
  </w:style>
  <w:style w:type="character" w:customStyle="1" w:styleId="DescripcinCar">
    <w:name w:val="Descripción Car"/>
    <w:basedOn w:val="Fuentedeprrafopredeter"/>
    <w:link w:val="Descripcin"/>
  </w:style>
  <w:style w:type="character" w:customStyle="1" w:styleId="VerbatimChar">
    <w:name w:val="Verbatim Char"/>
    <w:basedOn w:val="DescripcinCar"/>
    <w:link w:val="SourceCode"/>
    <w:rPr>
      <w:rFonts w:ascii="Consolas" w:hAnsi="Consolas"/>
      <w:sz w:val="22"/>
    </w:rPr>
  </w:style>
  <w:style w:type="character" w:customStyle="1" w:styleId="SectionNumber">
    <w:name w:val="Section Number"/>
    <w:basedOn w:val="DescripcinCar"/>
  </w:style>
  <w:style w:type="character" w:styleId="Refdenotaalpie">
    <w:name w:val="footnote reference"/>
    <w:basedOn w:val="DescripcinCar"/>
    <w:rPr>
      <w:vertAlign w:val="superscript"/>
    </w:rPr>
  </w:style>
  <w:style w:type="character" w:styleId="Hipervnculo">
    <w:name w:val="Hyperlink"/>
    <w:basedOn w:val="DescripcinCar"/>
    <w:rPr>
      <w:color w:val="156082" w:themeColor="accent1"/>
    </w:rPr>
  </w:style>
  <w:style w:type="paragraph" w:styleId="TtuloTDC">
    <w:name w:val="TOC Heading"/>
    <w:basedOn w:val="Ttulo1"/>
    <w:next w:val="Textoindependiente"/>
    <w:uiPriority w:val="39"/>
    <w:unhideWhenUsed/>
    <w:qFormat/>
    <w:pPr>
      <w:spacing w:before="240" w:line="259" w:lineRule="auto"/>
      <w:outlineLvl w:val="9"/>
    </w:pPr>
    <w:rPr>
      <w:rFonts w:asciiTheme="majorHAnsi" w:hAnsiTheme="majorHAnsi" w:cstheme="majorBidi"/>
      <w:color w:val="0F4761" w:themeColor="accent1" w:themeShade="BF"/>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styleId="Textodelmarcadordeposicin">
    <w:name w:val="Placeholder Text"/>
    <w:basedOn w:val="Fuentedeprrafopredeter"/>
    <w:rsid w:val="007265A5"/>
    <w:rPr>
      <w:color w:val="666666"/>
    </w:rPr>
  </w:style>
  <w:style w:type="character" w:styleId="Mencinsinresolver">
    <w:name w:val="Unresolved Mention"/>
    <w:basedOn w:val="Fuentedeprrafopredeter"/>
    <w:uiPriority w:val="99"/>
    <w:semiHidden/>
    <w:unhideWhenUsed/>
    <w:rsid w:val="00EF3DE6"/>
    <w:rPr>
      <w:color w:val="605E5C"/>
      <w:shd w:val="clear" w:color="auto" w:fill="E1DFDD"/>
    </w:rPr>
  </w:style>
  <w:style w:type="character" w:styleId="Refdecomentario">
    <w:name w:val="annotation reference"/>
    <w:basedOn w:val="Fuentedeprrafopredeter"/>
    <w:rsid w:val="0085266B"/>
    <w:rPr>
      <w:sz w:val="16"/>
      <w:szCs w:val="16"/>
    </w:rPr>
  </w:style>
  <w:style w:type="paragraph" w:styleId="Textocomentario">
    <w:name w:val="annotation text"/>
    <w:basedOn w:val="Normal"/>
    <w:link w:val="TextocomentarioCar"/>
    <w:rsid w:val="0085266B"/>
    <w:rPr>
      <w:sz w:val="20"/>
      <w:szCs w:val="20"/>
    </w:rPr>
  </w:style>
  <w:style w:type="character" w:customStyle="1" w:styleId="TextocomentarioCar">
    <w:name w:val="Texto comentario Car"/>
    <w:basedOn w:val="Fuentedeprrafopredeter"/>
    <w:link w:val="Textocomentario"/>
    <w:rsid w:val="0085266B"/>
    <w:rPr>
      <w:sz w:val="20"/>
      <w:szCs w:val="20"/>
    </w:rPr>
  </w:style>
  <w:style w:type="paragraph" w:styleId="Asuntodelcomentario">
    <w:name w:val="annotation subject"/>
    <w:basedOn w:val="Textocomentario"/>
    <w:next w:val="Textocomentario"/>
    <w:link w:val="AsuntodelcomentarioCar"/>
    <w:rsid w:val="0085266B"/>
    <w:rPr>
      <w:b/>
      <w:bCs/>
    </w:rPr>
  </w:style>
  <w:style w:type="character" w:customStyle="1" w:styleId="AsuntodelcomentarioCar">
    <w:name w:val="Asunto del comentario Car"/>
    <w:basedOn w:val="TextocomentarioCar"/>
    <w:link w:val="Asuntodelcomentario"/>
    <w:rsid w:val="0085266B"/>
    <w:rPr>
      <w:b/>
      <w:bCs/>
      <w:sz w:val="20"/>
      <w:szCs w:val="20"/>
    </w:rPr>
  </w:style>
  <w:style w:type="paragraph" w:customStyle="1" w:styleId="Figura">
    <w:name w:val="Figura"/>
    <w:basedOn w:val="Normal"/>
    <w:link w:val="FiguraChar"/>
    <w:qFormat/>
    <w:rsid w:val="00CB23C1"/>
    <w:pPr>
      <w:spacing w:after="0"/>
      <w:ind w:firstLine="270"/>
    </w:pPr>
    <w:rPr>
      <w:rFonts w:ascii="Times New Roman" w:eastAsia="Calibri" w:hAnsi="Times New Roman" w:cs="Times New Roman"/>
      <w:color w:val="1F497D"/>
      <w:sz w:val="20"/>
      <w:szCs w:val="22"/>
    </w:rPr>
  </w:style>
  <w:style w:type="character" w:customStyle="1" w:styleId="FiguraChar">
    <w:name w:val="Figura Char"/>
    <w:basedOn w:val="Fuentedeprrafopredeter"/>
    <w:link w:val="Figura"/>
    <w:rsid w:val="00CB23C1"/>
    <w:rPr>
      <w:rFonts w:ascii="Times New Roman" w:eastAsia="Calibri" w:hAnsi="Times New Roman" w:cs="Times New Roman"/>
      <w:color w:val="1F497D"/>
      <w:sz w:val="20"/>
      <w:szCs w:val="22"/>
      <w:lang w:val="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hyperlink" Target="https://doi.org/10.1016/j.powsour.2023.233108" TargetMode="External"/><Relationship Id="rId26" Type="http://schemas.openxmlformats.org/officeDocument/2006/relationships/hyperlink" Target="https://doi.org/10.1016/j.jelechem.2024.118709" TargetMode="External"/><Relationship Id="rId39" Type="http://schemas.openxmlformats.org/officeDocument/2006/relationships/hyperlink" Target="https://doi.org/10.1016/j.xcrp.2024.101900" TargetMode="External"/><Relationship Id="rId21" Type="http://schemas.openxmlformats.org/officeDocument/2006/relationships/hyperlink" Target="https://doi.org/10.1016/j.electacta.2024.145161" TargetMode="External"/><Relationship Id="rId34" Type="http://schemas.openxmlformats.org/officeDocument/2006/relationships/hyperlink" Target="https://doi.org/10.1016/j.electacta.2020.137684" TargetMode="External"/><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hyperlink" Target="https://doi.org/10.1016/j.egypro.2016.11.187" TargetMode="External"/><Relationship Id="rId20" Type="http://schemas.openxmlformats.org/officeDocument/2006/relationships/hyperlink" Target="https://doi.org/10.1016/j.rser.2024.114725" TargetMode="External"/><Relationship Id="rId29" Type="http://schemas.openxmlformats.org/officeDocument/2006/relationships/hyperlink" Target="https://doi.org/10.1016/j.checat.2022.02.014" TargetMode="Externa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png"/><Relationship Id="rId24" Type="http://schemas.openxmlformats.org/officeDocument/2006/relationships/hyperlink" Target="https://doi.org/10.1016/j.ijhydene.2024.04.093" TargetMode="External"/><Relationship Id="rId32" Type="http://schemas.openxmlformats.org/officeDocument/2006/relationships/hyperlink" Target="https://doi.org/10.1016/j.jprocont.2021.06.005" TargetMode="External"/><Relationship Id="rId37" Type="http://schemas.openxmlformats.org/officeDocument/2006/relationships/hyperlink" Target="https://doi.org/10.1063/5.0166409" TargetMode="External"/><Relationship Id="rId40"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hyperlink" Target="https://www.fundacionnaturgy.org" TargetMode="External"/><Relationship Id="rId23" Type="http://schemas.openxmlformats.org/officeDocument/2006/relationships/hyperlink" Target="https://doi.org/10.1016/j.checat.2023.100601" TargetMode="External"/><Relationship Id="rId28" Type="http://schemas.openxmlformats.org/officeDocument/2006/relationships/hyperlink" Target="https://doi.org/10.1016/j.coche.2023.100981" TargetMode="External"/><Relationship Id="rId36" Type="http://schemas.openxmlformats.org/officeDocument/2006/relationships/hyperlink" Target="https://doi.org/10.1103/PRXEnergy.2.043006" TargetMode="External"/><Relationship Id="rId10" Type="http://schemas.openxmlformats.org/officeDocument/2006/relationships/image" Target="media/image6.png"/><Relationship Id="rId19" Type="http://schemas.openxmlformats.org/officeDocument/2006/relationships/hyperlink" Target="https://doi.org/10.1016/j.jpowsour.2023.232629" TargetMode="External"/><Relationship Id="rId31" Type="http://schemas.openxmlformats.org/officeDocument/2006/relationships/hyperlink" Target="https://doi.org/10.1016/j.jpowsour.2021.229864"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hyperlink" Target="https://doi.org/10.1016/j.jelechem.2024.118709" TargetMode="External"/><Relationship Id="rId27" Type="http://schemas.openxmlformats.org/officeDocument/2006/relationships/hyperlink" Target="https://doi.org/10.4995/Thesis/10251/147114" TargetMode="External"/><Relationship Id="rId30" Type="http://schemas.openxmlformats.org/officeDocument/2006/relationships/hyperlink" Target="https://doi.org/10.1002/eom2.70018" TargetMode="External"/><Relationship Id="rId35" Type="http://schemas.openxmlformats.org/officeDocument/2006/relationships/hyperlink" Target="https://doi.org/10.1016/S1452-3981(23)13969-1" TargetMode="External"/><Relationship Id="rId8" Type="http://schemas.openxmlformats.org/officeDocument/2006/relationships/image" Target="media/image4.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hyperlink" Target="https://doi.org/10.1016/j.jpowsour.2023.232629" TargetMode="External"/><Relationship Id="rId25" Type="http://schemas.openxmlformats.org/officeDocument/2006/relationships/hyperlink" Target="https://doi.org/10.1016/j.rineng.2023.101426" TargetMode="External"/><Relationship Id="rId33" Type="http://schemas.openxmlformats.org/officeDocument/2006/relationships/hyperlink" Target="https://doi.org/10.1016/j.jpowsour.2022.232341" TargetMode="External"/><Relationship Id="rId38" Type="http://schemas.openxmlformats.org/officeDocument/2006/relationships/hyperlink" Target="https://doi.org/10.35848/1347-4065/ac987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113</TotalTime>
  <Pages>12</Pages>
  <Words>5367</Words>
  <Characters>29521</Characters>
  <Application>Microsoft Office Word</Application>
  <DocSecurity>0</DocSecurity>
  <Lines>246</Lines>
  <Paragraphs>69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Desarrollo de un Sistema de Caracterización de Celdas de Electrólisis Alcalina mediante Curvas de Polarización usando NI-VISA y Python</vt:lpstr>
      <vt:lpstr>Desarrollo de un Sistema de Caracterización de Celdas de Electrólisis Alcalina mediante Curvas de Polarización usando NI-VISA y Python</vt:lpstr>
    </vt:vector>
  </TitlesOfParts>
  <Company/>
  <LinksUpToDate>false</LinksUpToDate>
  <CharactersWithSpaces>34819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Análisis de la Variación de la Resistencia Eléctrica en Celdas de Electrólisis Alcalina mediante Curvas de Polarización</dc:title>
  <dc:creator>Mario Guillermo Ponce-Hernández; Gerardo Marx Chávez-Campos; Javier Correa-Gómez; Héctor Javier Vergara-Hernández; Luis Ulises Chávez-Campos</dc:creator>
  <cp:keywords>Electrólisis alcalina, Resistencia eléctrica, Curva de polarización, Temperatura, Corriente, Voltaje</cp:keywords>
  <cp:lastModifiedBy>mario guillermo ponce hernandez</cp:lastModifiedBy>
  <cp:revision>4</cp:revision>
  <dcterms:created xsi:type="dcterms:W3CDTF">2026-01-30T06:35:00Z</dcterms:created>
  <dcterms:modified xsi:type="dcterms:W3CDTF">2026-01-30T06:39:00Z</dcterms:modified>
  <dc:language>es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bstract">
    <vt:lpwstr>This study analyzes the instantaneous electrical resistance of an alkaline electrolysis cell using voltage–current polarization curves, employing AISI 304 stainless-steel electrodes and a 1 M NaOH electrolyte. The cell is powered by a programmable DC supply, and voltage and current are recorded with high-resolution digital multimeters through a Python interface (PyVISA/SCPI) for automated acquisition and systematic data storage. A PT1000 sensor is included to measure the electrolyte bulk temperature. Two experiments were conducted, each consisting of four consecutive rounds using the same electrode pair and electrolyte, to evaluate changes derived from continued use. Results show reproducibility of the activation voltage (\approx 1.1–1.3 V) and the onset of visible gas generation (\approx 1.8–1.9 V). The instantaneous resistance computed using Ohm’s law exhibits an abrupt drop at the start of electrolysis, with reductions exceeding 90%. Within the operating range, inter-round variations are observed, attributable to electrode degradation and electrolyte changes, suggesting that instantaneous resistance is a practical indicator of cell condition and degradation during operation.</vt:lpwstr>
  </property>
  <property fmtid="{D5CDD505-2E9C-101B-9397-08002B2CF9AE}" pid="3" name="autoEqnLabels">
    <vt:lpwstr>False</vt:lpwstr>
  </property>
  <property fmtid="{D5CDD505-2E9C-101B-9397-08002B2CF9AE}" pid="4" name="autoSectionLabels">
    <vt:lpwstr>False</vt:lpwstr>
  </property>
  <property fmtid="{D5CDD505-2E9C-101B-9397-08002B2CF9AE}" pid="5" name="bibliography">
    <vt:lpwstr>Hydrogen_Project.bib</vt:lpwstr>
  </property>
  <property fmtid="{D5CDD505-2E9C-101B-9397-08002B2CF9AE}" pid="6" name="ccsDelim">
    <vt:lpwstr>, </vt:lpwstr>
  </property>
  <property fmtid="{D5CDD505-2E9C-101B-9397-08002B2CF9AE}" pid="7" name="ccsLabelSep">
    <vt:lpwstr> — </vt:lpwstr>
  </property>
  <property fmtid="{D5CDD505-2E9C-101B-9397-08002B2CF9AE}" pid="8" name="ccsTemplate">
    <vt:lpwstr>iccsLabelSept</vt:lpwstr>
  </property>
  <property fmtid="{D5CDD505-2E9C-101B-9397-08002B2CF9AE}" pid="9" name="chapDelim">
    <vt:lpwstr>.</vt:lpwstr>
  </property>
  <property fmtid="{D5CDD505-2E9C-101B-9397-08002B2CF9AE}" pid="10" name="chapters">
    <vt:lpwstr>False</vt:lpwstr>
  </property>
  <property fmtid="{D5CDD505-2E9C-101B-9397-08002B2CF9AE}" pid="11" name="chaptersDepth">
    <vt:lpwstr>1</vt:lpwstr>
  </property>
  <property fmtid="{D5CDD505-2E9C-101B-9397-08002B2CF9AE}" pid="12" name="codeBlockCaptions">
    <vt:lpwstr>False</vt:lpwstr>
  </property>
  <property fmtid="{D5CDD505-2E9C-101B-9397-08002B2CF9AE}" pid="13" name="cref">
    <vt:lpwstr>False</vt:lpwstr>
  </property>
  <property fmtid="{D5CDD505-2E9C-101B-9397-08002B2CF9AE}" pid="14" name="crossrefYaml">
    <vt:lpwstr>pandoc-crossref.yaml</vt:lpwstr>
  </property>
  <property fmtid="{D5CDD505-2E9C-101B-9397-08002B2CF9AE}" pid="15" name="csl">
    <vt:lpwstr>ieee.csl</vt:lpwstr>
  </property>
  <property fmtid="{D5CDD505-2E9C-101B-9397-08002B2CF9AE}" pid="16" name="date">
    <vt:lpwstr>January 2026</vt:lpwstr>
  </property>
  <property fmtid="{D5CDD505-2E9C-101B-9397-08002B2CF9AE}" pid="17" name="eqLabels">
    <vt:lpwstr>arabic</vt:lpwstr>
  </property>
  <property fmtid="{D5CDD505-2E9C-101B-9397-08002B2CF9AE}" pid="18" name="eqnBlockInlineMath">
    <vt:lpwstr>False</vt:lpwstr>
  </property>
  <property fmtid="{D5CDD505-2E9C-101B-9397-08002B2CF9AE}" pid="19" name="eqnBlockTemplate">
    <vt:lpwstr>ti</vt:lpwstr>
  </property>
  <property fmtid="{D5CDD505-2E9C-101B-9397-08002B2CF9AE}" pid="20" name="eqnDisplayTemplate">
    <vt:lpwstr>e</vt:lpwstr>
  </property>
  <property fmtid="{D5CDD505-2E9C-101B-9397-08002B2CF9AE}" pid="21" name="eqnIndexTemplate">
    <vt:lpwstr>(i)</vt:lpwstr>
  </property>
  <property fmtid="{D5CDD505-2E9C-101B-9397-08002B2CF9AE}" pid="22" name="eqnInlineTableTemplate">
    <vt:lpwstr>e</vt:lpwstr>
  </property>
  <property fmtid="{D5CDD505-2E9C-101B-9397-08002B2CF9AE}" pid="23" name="eqnInlineTemplate">
    <vt:lpwstr>eequationNumberTeX{i}</vt:lpwstr>
  </property>
  <property fmtid="{D5CDD505-2E9C-101B-9397-08002B2CF9AE}" pid="24" name="eqnPrefix">
    <vt:lpwstr/>
  </property>
  <property fmtid="{D5CDD505-2E9C-101B-9397-08002B2CF9AE}" pid="25" name="eqnPrefixTemplate">
    <vt:lpwstr>p i</vt:lpwstr>
  </property>
  <property fmtid="{D5CDD505-2E9C-101B-9397-08002B2CF9AE}" pid="26" name="equationNumberTeX">
    <vt:lpwstr>\qquad</vt:lpwstr>
  </property>
  <property fmtid="{D5CDD505-2E9C-101B-9397-08002B2CF9AE}" pid="27" name="figLabels">
    <vt:lpwstr>arabic</vt:lpwstr>
  </property>
  <property fmtid="{D5CDD505-2E9C-101B-9397-08002B2CF9AE}" pid="28" name="figPrefix">
    <vt:lpwstr/>
  </property>
  <property fmtid="{D5CDD505-2E9C-101B-9397-08002B2CF9AE}" pid="29" name="figPrefixTemplate">
    <vt:lpwstr>p i</vt:lpwstr>
  </property>
  <property fmtid="{D5CDD505-2E9C-101B-9397-08002B2CF9AE}" pid="30" name="figureTemplate">
    <vt:lpwstr>figureTitle ititleDelim t</vt:lpwstr>
  </property>
  <property fmtid="{D5CDD505-2E9C-101B-9397-08002B2CF9AE}" pid="31" name="figureTitle">
    <vt:lpwstr>Figura</vt:lpwstr>
  </property>
  <property fmtid="{D5CDD505-2E9C-101B-9397-08002B2CF9AE}" pid="32" name="lastDelim">
    <vt:lpwstr>, </vt:lpwstr>
  </property>
  <property fmtid="{D5CDD505-2E9C-101B-9397-08002B2CF9AE}" pid="33" name="linkReferences">
    <vt:lpwstr>False</vt:lpwstr>
  </property>
  <property fmtid="{D5CDD505-2E9C-101B-9397-08002B2CF9AE}" pid="34" name="listItemTitleDelim">
    <vt:lpwstr>.</vt:lpwstr>
  </property>
  <property fmtid="{D5CDD505-2E9C-101B-9397-08002B2CF9AE}" pid="35" name="listOfMetadata">
    <vt:lpwstr>False</vt:lpwstr>
  </property>
  <property fmtid="{D5CDD505-2E9C-101B-9397-08002B2CF9AE}" pid="36" name="listingTemplate">
    <vt:lpwstr>listingTitle ititleDelim t</vt:lpwstr>
  </property>
  <property fmtid="{D5CDD505-2E9C-101B-9397-08002B2CF9AE}" pid="37" name="listingTitle">
    <vt:lpwstr>Listing</vt:lpwstr>
  </property>
  <property fmtid="{D5CDD505-2E9C-101B-9397-08002B2CF9AE}" pid="38" name="listings">
    <vt:lpwstr>False</vt:lpwstr>
  </property>
  <property fmtid="{D5CDD505-2E9C-101B-9397-08002B2CF9AE}" pid="39" name="lofItemTemplate">
    <vt:lpwstr>lofItemTitleilistItemTitleDelimt </vt:lpwstr>
  </property>
  <property fmtid="{D5CDD505-2E9C-101B-9397-08002B2CF9AE}" pid="40" name="lofItemTitle">
    <vt:lpwstr/>
  </property>
  <property fmtid="{D5CDD505-2E9C-101B-9397-08002B2CF9AE}" pid="41" name="lofTitle">
    <vt:lpwstr>List of Figures</vt:lpwstr>
  </property>
  <property fmtid="{D5CDD505-2E9C-101B-9397-08002B2CF9AE}" pid="42" name="lolItemTemplate">
    <vt:lpwstr>lolItemTitleilistItemTitleDelimt </vt:lpwstr>
  </property>
  <property fmtid="{D5CDD505-2E9C-101B-9397-08002B2CF9AE}" pid="43" name="lolItemTitle">
    <vt:lpwstr/>
  </property>
  <property fmtid="{D5CDD505-2E9C-101B-9397-08002B2CF9AE}" pid="44" name="lolTitle">
    <vt:lpwstr>List of Listings</vt:lpwstr>
  </property>
  <property fmtid="{D5CDD505-2E9C-101B-9397-08002B2CF9AE}" pid="45" name="lotItemTemplate">
    <vt:lpwstr>lotItemTitleilistItemTitleDelimt </vt:lpwstr>
  </property>
  <property fmtid="{D5CDD505-2E9C-101B-9397-08002B2CF9AE}" pid="46" name="lotItemTitle">
    <vt:lpwstr/>
  </property>
  <property fmtid="{D5CDD505-2E9C-101B-9397-08002B2CF9AE}" pid="47" name="lotTitle">
    <vt:lpwstr>List of Tables</vt:lpwstr>
  </property>
  <property fmtid="{D5CDD505-2E9C-101B-9397-08002B2CF9AE}" pid="48" name="lstLabels">
    <vt:lpwstr>arabic</vt:lpwstr>
  </property>
  <property fmtid="{D5CDD505-2E9C-101B-9397-08002B2CF9AE}" pid="49" name="lstPrefix">
    <vt:lpwstr/>
  </property>
  <property fmtid="{D5CDD505-2E9C-101B-9397-08002B2CF9AE}" pid="50" name="lstPrefixTemplate">
    <vt:lpwstr>p i</vt:lpwstr>
  </property>
  <property fmtid="{D5CDD505-2E9C-101B-9397-08002B2CF9AE}" pid="51" name="nameInLink">
    <vt:lpwstr>False</vt:lpwstr>
  </property>
  <property fmtid="{D5CDD505-2E9C-101B-9397-08002B2CF9AE}" pid="52" name="numberSections">
    <vt:lpwstr>False</vt:lpwstr>
  </property>
  <property fmtid="{D5CDD505-2E9C-101B-9397-08002B2CF9AE}" pid="53" name="pairDelim">
    <vt:lpwstr>, </vt:lpwstr>
  </property>
  <property fmtid="{D5CDD505-2E9C-101B-9397-08002B2CF9AE}" pid="54" name="rangeDelim">
    <vt:lpwstr>-</vt:lpwstr>
  </property>
  <property fmtid="{D5CDD505-2E9C-101B-9397-08002B2CF9AE}" pid="55" name="refDelim">
    <vt:lpwstr>, </vt:lpwstr>
  </property>
  <property fmtid="{D5CDD505-2E9C-101B-9397-08002B2CF9AE}" pid="56" name="refIndexTemplate">
    <vt:lpwstr>isuf</vt:lpwstr>
  </property>
  <property fmtid="{D5CDD505-2E9C-101B-9397-08002B2CF9AE}" pid="57" name="resumen">
    <vt:lpwstr>El presente trabajo analiza la resistencia eléctrica instantánea de una celda de electrólisis alcalina a partir de curvas de polarización voltaje–corriente, usando electrodos de acero inoxidable AISI 304 y electrolito NaOH 1 M. La celda se alimenta con una fuente DC programable y se registran voltaje y corriente con multímetros de alta resolución, mediante una interfaz en Python (PyVISA/SCPI) para la adquisición automática y el almacenamiento sistemático. Se incorpora un sensor PT1000 para medir la temperatura global del electrolito. Se realizaron dos experimentos, cada uno con cuatro rondas consecutivas, manteniendo el mismo par de electrodos y el mismo electrolito para evaluar cambios derivados del uso. Los resultados muestran reproducibilidad del voltaje de activación (\approx 1.1–1.3 V) y del inicio observable de la generación de gas (\approx 1.8–1.9 V). La resistencia instantánea calculada por ley de Ohm presenta una caída abrupta al iniciar la electrólisis, con reducciones superiores al 90%. En el rango de operación se observan variaciones entre rondas, asociadas al desgaste y a cambios en el electrolito, lo que sugiere que la resistencia instantánea es un indicador práctico del estado y la degradación de la celda.</vt:lpwstr>
  </property>
  <property fmtid="{D5CDD505-2E9C-101B-9397-08002B2CF9AE}" pid="58" name="secHeaderDelim">
    <vt:lpwstr> </vt:lpwstr>
  </property>
  <property fmtid="{D5CDD505-2E9C-101B-9397-08002B2CF9AE}" pid="59" name="secHeaderTemplate">
    <vt:lpwstr>isecHeaderDelim[n]t</vt:lpwstr>
  </property>
  <property fmtid="{D5CDD505-2E9C-101B-9397-08002B2CF9AE}" pid="60" name="secLabels">
    <vt:lpwstr>arabic</vt:lpwstr>
  </property>
  <property fmtid="{D5CDD505-2E9C-101B-9397-08002B2CF9AE}" pid="61" name="secPrefix">
    <vt:lpwstr/>
  </property>
  <property fmtid="{D5CDD505-2E9C-101B-9397-08002B2CF9AE}" pid="62" name="secPrefixTemplate">
    <vt:lpwstr>p i</vt:lpwstr>
  </property>
  <property fmtid="{D5CDD505-2E9C-101B-9397-08002B2CF9AE}" pid="63" name="sectionsDepth">
    <vt:lpwstr>0</vt:lpwstr>
  </property>
  <property fmtid="{D5CDD505-2E9C-101B-9397-08002B2CF9AE}" pid="64" name="subfigGrid">
    <vt:lpwstr>False</vt:lpwstr>
  </property>
  <property fmtid="{D5CDD505-2E9C-101B-9397-08002B2CF9AE}" pid="65" name="subfigLabels">
    <vt:lpwstr>alpha a</vt:lpwstr>
  </property>
  <property fmtid="{D5CDD505-2E9C-101B-9397-08002B2CF9AE}" pid="66" name="subfigureChildTemplate">
    <vt:lpwstr>i</vt:lpwstr>
  </property>
  <property fmtid="{D5CDD505-2E9C-101B-9397-08002B2CF9AE}" pid="67" name="subfigureRefIndexTemplate">
    <vt:lpwstr>isuf (s)</vt:lpwstr>
  </property>
  <property fmtid="{D5CDD505-2E9C-101B-9397-08002B2CF9AE}" pid="68" name="subfigureTemplate">
    <vt:lpwstr>figureTitle ititleDelim t. ccs</vt:lpwstr>
  </property>
  <property fmtid="{D5CDD505-2E9C-101B-9397-08002B2CF9AE}" pid="69" name="tableEqns">
    <vt:lpwstr>False</vt:lpwstr>
  </property>
  <property fmtid="{D5CDD505-2E9C-101B-9397-08002B2CF9AE}" pid="70" name="tableTemplate">
    <vt:lpwstr>tableTitle ititleDelim t</vt:lpwstr>
  </property>
  <property fmtid="{D5CDD505-2E9C-101B-9397-08002B2CF9AE}" pid="71" name="tableTitle">
    <vt:lpwstr>Tabla</vt:lpwstr>
  </property>
  <property fmtid="{D5CDD505-2E9C-101B-9397-08002B2CF9AE}" pid="72" name="tblLabels">
    <vt:lpwstr>arabic</vt:lpwstr>
  </property>
  <property fmtid="{D5CDD505-2E9C-101B-9397-08002B2CF9AE}" pid="73" name="tblPrefix">
    <vt:lpwstr/>
  </property>
  <property fmtid="{D5CDD505-2E9C-101B-9397-08002B2CF9AE}" pid="74" name="tblPrefixTemplate">
    <vt:lpwstr>p i</vt:lpwstr>
  </property>
  <property fmtid="{D5CDD505-2E9C-101B-9397-08002B2CF9AE}" pid="75" name="titleDelim">
    <vt:lpwstr>:</vt:lpwstr>
  </property>
</Properties>
</file>